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8D" w:rsidRDefault="00853109">
      <w:pPr>
        <w:pStyle w:val="Title2"/>
        <w:rPr>
          <w:sz w:val="36"/>
        </w:rPr>
      </w:pPr>
      <w:r>
        <w:rPr>
          <w:noProof/>
          <w:sz w:val="36"/>
        </w:rPr>
        <w:drawing>
          <wp:anchor distT="0" distB="0" distL="114300" distR="114300" simplePos="0" relativeHeight="251666432" behindDoc="0" locked="0" layoutInCell="1" allowOverlap="1">
            <wp:simplePos x="0" y="0"/>
            <wp:positionH relativeFrom="column">
              <wp:posOffset>-68580</wp:posOffset>
            </wp:positionH>
            <wp:positionV relativeFrom="paragraph">
              <wp:posOffset>360</wp:posOffset>
            </wp:positionV>
            <wp:extent cx="1596390" cy="110299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st-3line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390" cy="1102995"/>
                    </a:xfrm>
                    <a:prstGeom prst="rect">
                      <a:avLst/>
                    </a:prstGeom>
                  </pic:spPr>
                </pic:pic>
              </a:graphicData>
            </a:graphic>
            <wp14:sizeRelH relativeFrom="margin">
              <wp14:pctWidth>0</wp14:pctWidth>
            </wp14:sizeRelH>
            <wp14:sizeRelV relativeFrom="margin">
              <wp14:pctHeight>0</wp14:pctHeight>
            </wp14:sizeRelV>
          </wp:anchor>
        </w:drawing>
      </w:r>
      <w:r>
        <w:rPr>
          <w:sz w:val="36"/>
        </w:rPr>
        <w:t>Summary of Proposal for Continuing Funding for Specialized Trafficking Victim Services</w:t>
      </w:r>
    </w:p>
    <w:p w:rsidR="001B1A8D" w:rsidRDefault="001B1A8D"/>
    <w:p w:rsidR="001B1A8D" w:rsidRDefault="001B1A8D"/>
    <w:p w:rsidR="001B1A8D" w:rsidRDefault="001B1A8D"/>
    <w:p w:rsidR="001B1A8D" w:rsidRDefault="001B1A8D"/>
    <w:p w:rsidR="001B1A8D" w:rsidRDefault="00853109">
      <w:pPr>
        <w:pStyle w:val="Heading1"/>
      </w:pPr>
      <w:r>
        <w:t>Continuing Funding for Comprehensive for Trafficking Victims</w:t>
      </w:r>
    </w:p>
    <w:p w:rsidR="001B1A8D" w:rsidRDefault="00853109">
      <w:pPr>
        <w:jc w:val="both"/>
      </w:pPr>
      <w:r>
        <w:t xml:space="preserve">Human trafficking is a form of modern day slavery in which victims are deceived and coerced into providing forced labor or sexual services for the benefit of their traffickers. </w:t>
      </w:r>
      <w:r>
        <w:rPr>
          <w:b/>
        </w:rPr>
        <w:t>Within the United States, human trafficking has had a particularly dramatic imp</w:t>
      </w:r>
      <w:r>
        <w:rPr>
          <w:b/>
        </w:rPr>
        <w:t xml:space="preserve">act on the state of California. </w:t>
      </w:r>
      <w:r>
        <w:t>Thousands of women, men, and children, representing both U.S. citizens and foreign nationals, are victimized by traffickers every year in California.</w:t>
      </w:r>
      <w:r>
        <w:rPr>
          <w:b/>
        </w:rPr>
        <w:t xml:space="preserve"> </w:t>
      </w:r>
    </w:p>
    <w:p w:rsidR="001B1A8D" w:rsidRDefault="001B1A8D">
      <w:pPr>
        <w:jc w:val="both"/>
        <w:rPr>
          <w:b/>
        </w:rPr>
      </w:pPr>
    </w:p>
    <w:p w:rsidR="001B1A8D" w:rsidRDefault="00853109">
      <w:pPr>
        <w:jc w:val="both"/>
        <w:rPr>
          <w:b/>
        </w:rPr>
      </w:pPr>
      <w:r>
        <w:rPr>
          <w:b/>
        </w:rPr>
        <w:t>An ongoing, stable funding source is essential to develop a network of o</w:t>
      </w:r>
      <w:r>
        <w:rPr>
          <w:b/>
        </w:rPr>
        <w:t>rganizations throughout California with capacity to provide trafficking survivors with specialized, evidence-based services. We therefore request that California lawmakers establish a Continuing Budget Request for specialized trafficking victim services in</w:t>
      </w:r>
      <w:r>
        <w:rPr>
          <w:b/>
        </w:rPr>
        <w:t xml:space="preserve"> the State’s General Fund in the amount of $15 million annually.</w:t>
      </w:r>
      <w:r>
        <w:t xml:space="preserve"> </w:t>
      </w:r>
      <w:r>
        <w:rPr>
          <w:b/>
        </w:rPr>
        <w:t>By establishing a continuing source of funding for comprehensive human trafficking service provision, human trafficking research, and human trafficking technical assistance, Governor Jerry Br</w:t>
      </w:r>
      <w:r>
        <w:rPr>
          <w:b/>
        </w:rPr>
        <w:t xml:space="preserve">own will leave a powerful legacy that will impact the state for decades to come. </w:t>
      </w:r>
    </w:p>
    <w:p w:rsidR="001B1A8D" w:rsidRDefault="001B1A8D">
      <w:pPr>
        <w:jc w:val="both"/>
      </w:pPr>
    </w:p>
    <w:p w:rsidR="001B1A8D" w:rsidRDefault="00853109">
      <w:pPr>
        <w:jc w:val="both"/>
        <w:rPr>
          <w:b/>
        </w:rPr>
      </w:pPr>
      <w:r>
        <w:t xml:space="preserve">Continuing funding would greatly expand the type and number of organizations able to provide long-term services to victims of human trafficking. </w:t>
      </w:r>
      <w:r>
        <w:rPr>
          <w:b/>
        </w:rPr>
        <w:t>Without establishing the con</w:t>
      </w:r>
      <w:r>
        <w:rPr>
          <w:b/>
        </w:rPr>
        <w:t xml:space="preserve">tinuing budget request, in 2019 all 21 programs </w:t>
      </w:r>
      <w:r>
        <w:rPr>
          <w:b/>
        </w:rPr>
        <w:t xml:space="preserve">funded by the California Office of Emergency Services (“Cal OES”) </w:t>
      </w:r>
      <w:r>
        <w:rPr>
          <w:b/>
          <w:u w:val="single"/>
        </w:rPr>
        <w:t>will be defunded by the end of 2018</w:t>
      </w:r>
      <w:r>
        <w:rPr>
          <w:b/>
        </w:rPr>
        <w:t>.</w:t>
      </w:r>
      <w:bookmarkStart w:id="0" w:name="_GoBack"/>
      <w:bookmarkEnd w:id="0"/>
    </w:p>
    <w:p w:rsidR="001B1A8D" w:rsidRDefault="001B1A8D">
      <w:pPr>
        <w:jc w:val="center"/>
        <w:rPr>
          <w:b/>
        </w:rPr>
      </w:pPr>
    </w:p>
    <w:p w:rsidR="001B1A8D" w:rsidRDefault="001B1A8D">
      <w:pPr>
        <w:jc w:val="both"/>
      </w:pPr>
    </w:p>
    <w:p w:rsidR="001B1A8D" w:rsidRDefault="00853109">
      <w:pPr>
        <w:pStyle w:val="Heading1"/>
        <w:jc w:val="both"/>
      </w:pPr>
      <w:r>
        <w:t>Impact of the Cal OES Program</w:t>
      </w:r>
    </w:p>
    <w:p w:rsidR="001B1A8D" w:rsidRDefault="00853109">
      <w:pPr>
        <w:jc w:val="both"/>
      </w:pPr>
      <w:r>
        <w:t>The eleven programs with the 2016-2018 Cal OES grant period have already served 2,521 victims of human trafficking in the first year alone. Together, these programs provided a total of 39,776 comprehensive services to victims of human trafficking, includin</w:t>
      </w:r>
      <w:r>
        <w:t>g, but not limited to, crisis counseling, case management, shelter services, and legal assistance. Of those individuals served, 219 had disabilities, 1,968 were female, 779 were minors (ages 0-17), and 1,046 were transitional aged youth (ages 18-24).</w:t>
      </w:r>
    </w:p>
    <w:p w:rsidR="001B1A8D" w:rsidRDefault="001B1A8D">
      <w:pPr>
        <w:jc w:val="both"/>
      </w:pPr>
    </w:p>
    <w:p w:rsidR="001B1A8D" w:rsidRDefault="00853109">
      <w:pPr>
        <w:pStyle w:val="Heading1"/>
      </w:pPr>
      <w:r>
        <w:t>Expl</w:t>
      </w:r>
      <w:r>
        <w:t>anation of Benefits</w:t>
      </w:r>
    </w:p>
    <w:p w:rsidR="001B1A8D" w:rsidRDefault="001B1A8D"/>
    <w:p w:rsidR="001B1A8D" w:rsidRDefault="00853109">
      <w:pPr>
        <w:pStyle w:val="Heading2"/>
      </w:pPr>
      <w:r>
        <w:t>Program Services</w:t>
      </w:r>
    </w:p>
    <w:p w:rsidR="001B1A8D" w:rsidRDefault="00853109">
      <w:pPr>
        <w:pStyle w:val="Heading3"/>
        <w:numPr>
          <w:ilvl w:val="0"/>
          <w:numId w:val="3"/>
        </w:numPr>
      </w:pPr>
      <w:r>
        <w:t>Case Management Resources</w:t>
      </w:r>
    </w:p>
    <w:p w:rsidR="001B1A8D" w:rsidRDefault="00853109">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t>A survey of specialized service providers to human trafficking victims demonstrated that the case load of a human trafficking caseworker in California is anywhere between 10 and 30 victims. An average salary plus overhead costs for a specialized case manag</w:t>
      </w:r>
      <w:r>
        <w:t xml:space="preserve">er is $53,760.00 annually. Since serving trafficking </w:t>
      </w:r>
      <w:r>
        <w:lastRenderedPageBreak/>
        <w:t>victims often requires emergency response and 24 hour services, programs should have a minimum of two full-time human trafficking case managers funded to ensure around the clock coverage, as well as vict</w:t>
      </w:r>
      <w:r>
        <w:t>im and staff safety.</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B1A8D" w:rsidRDefault="001B1A8D">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1B1A8D" w:rsidRDefault="001B1A8D">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1B1A8D" w:rsidRDefault="00853109">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bbbbbbbb</w:t>
      </w:r>
    </w:p>
    <w:p w:rsidR="001B1A8D" w:rsidRDefault="001B1A8D"/>
    <w:p w:rsidR="001B1A8D" w:rsidRDefault="00853109">
      <w:pPr>
        <w:pStyle w:val="Heading3"/>
        <w:numPr>
          <w:ilvl w:val="0"/>
          <w:numId w:val="3"/>
        </w:numPr>
      </w:pPr>
      <w:r>
        <w:t>Legal Resources</w:t>
      </w:r>
    </w:p>
    <w:p w:rsidR="001B1A8D" w:rsidRDefault="00853109">
      <w:pPr>
        <w:jc w:val="both"/>
      </w:pPr>
      <w:r>
        <w:t xml:space="preserve">Case management programs need the support of a full-time attorney, given the complex legal needs of trafficking survivors. A specialized attorney with overhead costs about $76,800.00 annually. With this </w:t>
      </w:r>
      <w:r>
        <w:t>funding, programs could either contract with existing legal services programs for a full-time staff attorney to support their clients or hire an attorney to support legal services in-house. Since attorney caseloads are traditionally higher than case manage</w:t>
      </w:r>
      <w:r>
        <w:t>ment services, only one attorney is needed per every two case managers.</w:t>
      </w:r>
    </w:p>
    <w:p w:rsidR="001B1A8D" w:rsidRDefault="001B1A8D">
      <w:pPr>
        <w:jc w:val="both"/>
      </w:pPr>
    </w:p>
    <w:p w:rsidR="001B1A8D" w:rsidRDefault="00853109">
      <w:pPr>
        <w:pStyle w:val="Heading3"/>
        <w:numPr>
          <w:ilvl w:val="0"/>
          <w:numId w:val="3"/>
        </w:numPr>
      </w:pPr>
      <w:r>
        <w:t>Shelter Resources</w:t>
      </w:r>
    </w:p>
    <w:p w:rsidR="001B1A8D" w:rsidRDefault="00853109">
      <w:pPr>
        <w:jc w:val="both"/>
      </w:pPr>
      <w:r>
        <w:t xml:space="preserve">It costs approximately $9,000 annually to secure a specialized shelter bed for an adult victim of human trafficking. Ensuring shelter for the victims identified and </w:t>
      </w:r>
      <w:r>
        <w:t>served under this program will require 600 shelter beds. The average length of stay at a shelter is 6 to 18 months. This dedicated funding will create a significant new number of shelter beds dedicated to trafficking survivors annually, which will be a fir</w:t>
      </w:r>
      <w:r>
        <w:t>st for California.</w:t>
      </w:r>
    </w:p>
    <w:p w:rsidR="001B1A8D" w:rsidRDefault="001B1A8D"/>
    <w:p w:rsidR="001B1A8D" w:rsidRDefault="00853109">
      <w:pPr>
        <w:pStyle w:val="Heading2"/>
      </w:pPr>
      <w:r>
        <w:t xml:space="preserve">Training and Technical Consultation Resources </w:t>
      </w:r>
    </w:p>
    <w:p w:rsidR="001B1A8D" w:rsidRDefault="00853109">
      <w:pPr>
        <w:jc w:val="both"/>
      </w:pPr>
      <w:r>
        <w:t>Developing a statewide curriculum on effective identification of human trafficking victims and service provision for this unique population will require $440,000 annually. This number is ba</w:t>
      </w:r>
      <w:r>
        <w:t>sed on past costs associated with training law enforcement agencies on minor sex trafficking.  Additionally, to provide ongoing support to the newly funded trafficking programs and other programs identifying trafficking victims across California, $1 millio</w:t>
      </w:r>
      <w:r>
        <w:t xml:space="preserve">n is requested for ongoing technical consultation. </w:t>
      </w:r>
    </w:p>
    <w:p w:rsidR="001B1A8D" w:rsidRDefault="001B1A8D">
      <w:pPr>
        <w:jc w:val="both"/>
      </w:pPr>
    </w:p>
    <w:p w:rsidR="001B1A8D" w:rsidRDefault="00853109">
      <w:pPr>
        <w:pStyle w:val="Heading2"/>
      </w:pPr>
      <w:r>
        <w:t xml:space="preserve">Prevalence Study </w:t>
      </w:r>
    </w:p>
    <w:p w:rsidR="001B1A8D" w:rsidRDefault="00853109">
      <w:pPr>
        <w:jc w:val="both"/>
      </w:pPr>
      <w:r>
        <w:t>This will be the first comprehensive, statewide research study of the prevalence of human trafficking in California. Based on costs for previous studies which concentrated on one geogra</w:t>
      </w:r>
      <w:r>
        <w:t>phic area and one form of trafficking, as well as discussions with the aforementioned researchers in this field, we conservatively estimate that an accurate, robust prevalence study across the state of California which examines both sex and labor trafficki</w:t>
      </w:r>
      <w:r>
        <w:t>ng will have a duration of three years and will cost $1 million per year of the study, for a total cost of $3 million every six years, allocated as $500,000 annually in the budget cost analysis.</w:t>
      </w:r>
    </w:p>
    <w:p w:rsidR="001B1A8D" w:rsidRDefault="001B1A8D">
      <w:pPr>
        <w:jc w:val="both"/>
      </w:pPr>
    </w:p>
    <w:p w:rsidR="001B1A8D" w:rsidRDefault="00853109">
      <w:pPr>
        <w:pStyle w:val="Heading2"/>
      </w:pPr>
      <w:r>
        <w:t>Evaluation of Service Providers</w:t>
      </w:r>
    </w:p>
    <w:p w:rsidR="001B1A8D" w:rsidRDefault="00853109">
      <w:pPr>
        <w:jc w:val="both"/>
      </w:pPr>
      <w:r>
        <w:t xml:space="preserve">This funding will provide a </w:t>
      </w:r>
      <w:r>
        <w:t xml:space="preserve">comprehensive audit and evaluative study of service providers receiving Cal OES grant funding. This study will be used to determine best practices for serving trafficking victims statewide, which will then be implemented through the training and technical </w:t>
      </w:r>
      <w:r>
        <w:t>resources offered to service providers, as described above. A comprehensive audit and evaluative study of service providers would need to evaluate twenty programs over a three year period. We conservatively estimate that such a study will cost $1 million p</w:t>
      </w:r>
      <w:r>
        <w:t xml:space="preserve">er year of the study, for a total of $3 million every three years, allocated as $500,000 annually in the budget cost analysis. </w:t>
      </w:r>
    </w:p>
    <w:p w:rsidR="001B1A8D" w:rsidRDefault="001B1A8D">
      <w:pPr>
        <w:jc w:val="both"/>
      </w:pPr>
    </w:p>
    <w:p w:rsidR="001B1A8D" w:rsidRDefault="00853109">
      <w:pPr>
        <w:pStyle w:val="Heading1"/>
      </w:pPr>
      <w:r>
        <w:lastRenderedPageBreak/>
        <w:t xml:space="preserve">Cost Analysis </w:t>
      </w:r>
    </w:p>
    <w:p w:rsidR="001B1A8D" w:rsidRDefault="001B1A8D"/>
    <w:p w:rsidR="001B1A8D" w:rsidRDefault="00853109">
      <w:pPr>
        <w:pStyle w:val="Heading2"/>
      </w:pPr>
      <w:r>
        <w:t>Program Services</w:t>
      </w:r>
    </w:p>
    <w:tbl>
      <w:tblPr>
        <w:tblStyle w:val="GridTable4Accent4"/>
        <w:tblW w:w="9980" w:type="dxa"/>
        <w:tblLook w:val="04A0" w:firstRow="1" w:lastRow="0" w:firstColumn="1" w:lastColumn="0" w:noHBand="0" w:noVBand="1"/>
      </w:tblPr>
      <w:tblGrid>
        <w:gridCol w:w="2515"/>
        <w:gridCol w:w="5400"/>
        <w:gridCol w:w="2065"/>
      </w:tblGrid>
      <w:tr w:rsidR="001B1A8D" w:rsidTr="001B1A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1B1A8D" w:rsidRDefault="00853109">
            <w:pPr>
              <w:ind w:right="-547"/>
              <w:jc w:val="both"/>
              <w:rPr>
                <w:rFonts w:asciiTheme="majorHAnsi" w:eastAsia="Times New Roman" w:hAnsiTheme="majorHAnsi" w:cs="Arial"/>
              </w:rPr>
            </w:pPr>
            <w:r>
              <w:rPr>
                <w:rFonts w:asciiTheme="majorHAnsi" w:eastAsia="Times New Roman" w:hAnsiTheme="majorHAnsi" w:cs="Arial"/>
              </w:rPr>
              <w:t>Need</w:t>
            </w:r>
          </w:p>
        </w:tc>
        <w:tc>
          <w:tcPr>
            <w:tcW w:w="5400" w:type="dxa"/>
          </w:tcPr>
          <w:p w:rsidR="001B1A8D" w:rsidRDefault="00853109">
            <w:pPr>
              <w:ind w:right="-547"/>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rPr>
            </w:pPr>
            <w:r>
              <w:rPr>
                <w:rFonts w:asciiTheme="majorHAnsi" w:eastAsia="Times New Roman" w:hAnsiTheme="majorHAnsi" w:cs="Arial"/>
              </w:rPr>
              <w:t>Cost*</w:t>
            </w:r>
          </w:p>
        </w:tc>
        <w:tc>
          <w:tcPr>
            <w:tcW w:w="2065" w:type="dxa"/>
          </w:tcPr>
          <w:p w:rsidR="001B1A8D" w:rsidRDefault="00853109">
            <w:pPr>
              <w:ind w:right="-547"/>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rPr>
            </w:pPr>
            <w:r>
              <w:rPr>
                <w:rFonts w:asciiTheme="majorHAnsi" w:eastAsia="Times New Roman" w:hAnsiTheme="majorHAnsi" w:cs="Arial"/>
              </w:rPr>
              <w:t>Survivors Served</w:t>
            </w:r>
          </w:p>
        </w:tc>
      </w:tr>
      <w:tr w:rsidR="001B1A8D" w:rsidTr="001B1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1B1A8D" w:rsidRDefault="00853109">
            <w:pPr>
              <w:ind w:right="-547"/>
              <w:jc w:val="both"/>
              <w:rPr>
                <w:rFonts w:asciiTheme="majorHAnsi" w:eastAsia="Times New Roman" w:hAnsiTheme="majorHAnsi" w:cs="Arial"/>
                <w:b w:val="0"/>
              </w:rPr>
            </w:pPr>
            <w:r>
              <w:rPr>
                <w:rFonts w:asciiTheme="majorHAnsi" w:eastAsia="Times New Roman" w:hAnsiTheme="majorHAnsi" w:cs="Arial"/>
                <w:b w:val="0"/>
              </w:rPr>
              <w:t>Case Manager</w:t>
            </w:r>
          </w:p>
        </w:tc>
        <w:tc>
          <w:tcPr>
            <w:tcW w:w="5400" w:type="dxa"/>
          </w:tcPr>
          <w:p w:rsidR="001B1A8D" w:rsidRDefault="00853109">
            <w:pPr>
              <w:ind w:right="1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rPr>
            </w:pPr>
            <w:r>
              <w:rPr>
                <w:rFonts w:asciiTheme="majorHAnsi" w:eastAsia="Times New Roman" w:hAnsiTheme="majorHAnsi" w:cs="Arial"/>
              </w:rPr>
              <w:t>*$58,110.47 Annually, including overhead</w:t>
            </w:r>
          </w:p>
        </w:tc>
        <w:tc>
          <w:tcPr>
            <w:tcW w:w="2065" w:type="dxa"/>
          </w:tcPr>
          <w:p w:rsidR="001B1A8D" w:rsidRDefault="00853109">
            <w:pPr>
              <w:ind w:right="-547"/>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rPr>
            </w:pPr>
            <w:r>
              <w:rPr>
                <w:rFonts w:asciiTheme="majorHAnsi" w:eastAsia="Times New Roman" w:hAnsiTheme="majorHAnsi" w:cs="Arial"/>
              </w:rPr>
              <w:t>20*</w:t>
            </w:r>
          </w:p>
        </w:tc>
      </w:tr>
      <w:tr w:rsidR="001B1A8D" w:rsidTr="001B1A8D">
        <w:tc>
          <w:tcPr>
            <w:cnfStyle w:val="001000000000" w:firstRow="0" w:lastRow="0" w:firstColumn="1" w:lastColumn="0" w:oddVBand="0" w:evenVBand="0" w:oddHBand="0" w:evenHBand="0" w:firstRowFirstColumn="0" w:firstRowLastColumn="0" w:lastRowFirstColumn="0" w:lastRowLastColumn="0"/>
            <w:tcW w:w="2515" w:type="dxa"/>
          </w:tcPr>
          <w:p w:rsidR="001B1A8D" w:rsidRDefault="00853109">
            <w:pPr>
              <w:ind w:right="-547"/>
              <w:jc w:val="both"/>
              <w:rPr>
                <w:rFonts w:asciiTheme="majorHAnsi" w:eastAsia="Times New Roman" w:hAnsiTheme="majorHAnsi" w:cs="Arial"/>
                <w:b w:val="0"/>
              </w:rPr>
            </w:pPr>
            <w:r>
              <w:rPr>
                <w:rFonts w:asciiTheme="majorHAnsi" w:eastAsia="Times New Roman" w:hAnsiTheme="majorHAnsi" w:cs="Arial"/>
                <w:b w:val="0"/>
              </w:rPr>
              <w:t xml:space="preserve">Case </w:t>
            </w:r>
            <w:r>
              <w:rPr>
                <w:rFonts w:asciiTheme="majorHAnsi" w:eastAsia="Times New Roman" w:hAnsiTheme="majorHAnsi" w:cs="Arial"/>
                <w:b w:val="0"/>
              </w:rPr>
              <w:t>Manager</w:t>
            </w:r>
          </w:p>
        </w:tc>
        <w:tc>
          <w:tcPr>
            <w:tcW w:w="5400" w:type="dxa"/>
          </w:tcPr>
          <w:p w:rsidR="001B1A8D" w:rsidRDefault="00853109">
            <w:pPr>
              <w:ind w:right="-547"/>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rPr>
            </w:pPr>
            <w:r>
              <w:rPr>
                <w:rFonts w:asciiTheme="majorHAnsi" w:eastAsia="Times New Roman" w:hAnsiTheme="majorHAnsi" w:cs="Arial"/>
              </w:rPr>
              <w:t>*$58,110.47 Annually, including overhead</w:t>
            </w:r>
          </w:p>
        </w:tc>
        <w:tc>
          <w:tcPr>
            <w:tcW w:w="2065" w:type="dxa"/>
          </w:tcPr>
          <w:p w:rsidR="001B1A8D" w:rsidRDefault="00853109">
            <w:pPr>
              <w:ind w:right="-547"/>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rPr>
            </w:pPr>
            <w:r>
              <w:rPr>
                <w:rFonts w:asciiTheme="majorHAnsi" w:eastAsia="Times New Roman" w:hAnsiTheme="majorHAnsi" w:cs="Arial"/>
              </w:rPr>
              <w:t>20*</w:t>
            </w:r>
          </w:p>
        </w:tc>
      </w:tr>
      <w:tr w:rsidR="001B1A8D" w:rsidTr="001B1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1B1A8D" w:rsidRDefault="00853109">
            <w:pPr>
              <w:ind w:right="-547"/>
              <w:jc w:val="both"/>
              <w:rPr>
                <w:rFonts w:asciiTheme="majorHAnsi" w:eastAsia="Times New Roman" w:hAnsiTheme="majorHAnsi" w:cs="Arial"/>
                <w:b w:val="0"/>
              </w:rPr>
            </w:pPr>
            <w:r>
              <w:rPr>
                <w:rFonts w:asciiTheme="majorHAnsi" w:eastAsia="Times New Roman" w:hAnsiTheme="majorHAnsi" w:cs="Arial"/>
                <w:b w:val="0"/>
              </w:rPr>
              <w:t>Staff Attorney</w:t>
            </w:r>
          </w:p>
        </w:tc>
        <w:tc>
          <w:tcPr>
            <w:tcW w:w="5400" w:type="dxa"/>
          </w:tcPr>
          <w:p w:rsidR="001B1A8D" w:rsidRDefault="00853109">
            <w:pPr>
              <w:ind w:right="-547"/>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rPr>
            </w:pPr>
            <w:r>
              <w:rPr>
                <w:rFonts w:asciiTheme="majorHAnsi" w:eastAsia="Times New Roman" w:hAnsiTheme="majorHAnsi" w:cs="Arial"/>
              </w:rPr>
              <w:t>*$78,994.86 Annually, including overhead</w:t>
            </w:r>
          </w:p>
        </w:tc>
        <w:tc>
          <w:tcPr>
            <w:tcW w:w="2065" w:type="dxa"/>
          </w:tcPr>
          <w:p w:rsidR="001B1A8D" w:rsidRDefault="00853109">
            <w:pPr>
              <w:ind w:right="-547"/>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rPr>
            </w:pPr>
            <w:r>
              <w:rPr>
                <w:rFonts w:asciiTheme="majorHAnsi" w:eastAsia="Times New Roman" w:hAnsiTheme="majorHAnsi" w:cs="Arial"/>
              </w:rPr>
              <w:t>40</w:t>
            </w:r>
          </w:p>
        </w:tc>
      </w:tr>
      <w:tr w:rsidR="001B1A8D" w:rsidTr="001B1A8D">
        <w:tc>
          <w:tcPr>
            <w:cnfStyle w:val="001000000000" w:firstRow="0" w:lastRow="0" w:firstColumn="1" w:lastColumn="0" w:oddVBand="0" w:evenVBand="0" w:oddHBand="0" w:evenHBand="0" w:firstRowFirstColumn="0" w:firstRowLastColumn="0" w:lastRowFirstColumn="0" w:lastRowLastColumn="0"/>
            <w:tcW w:w="2515" w:type="dxa"/>
          </w:tcPr>
          <w:p w:rsidR="001B1A8D" w:rsidRDefault="00853109">
            <w:pPr>
              <w:ind w:right="-547"/>
              <w:jc w:val="both"/>
              <w:rPr>
                <w:rFonts w:asciiTheme="majorHAnsi" w:eastAsia="Times New Roman" w:hAnsiTheme="majorHAnsi" w:cs="Arial"/>
                <w:b w:val="0"/>
              </w:rPr>
            </w:pPr>
            <w:r>
              <w:rPr>
                <w:rFonts w:asciiTheme="majorHAnsi" w:eastAsia="Times New Roman" w:hAnsiTheme="majorHAnsi" w:cs="Arial"/>
                <w:b w:val="0"/>
              </w:rPr>
              <w:t>Shelter bed</w:t>
            </w:r>
          </w:p>
        </w:tc>
        <w:tc>
          <w:tcPr>
            <w:tcW w:w="5400" w:type="dxa"/>
          </w:tcPr>
          <w:p w:rsidR="001B1A8D" w:rsidRDefault="00853109">
            <w:pPr>
              <w:ind w:right="-547"/>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rPr>
            </w:pPr>
            <w:r>
              <w:rPr>
                <w:rFonts w:asciiTheme="majorHAnsi" w:eastAsia="Times New Roman" w:hAnsiTheme="majorHAnsi" w:cs="Arial"/>
              </w:rPr>
              <w:t>$9600.00 x 40 = $384,000 annually</w:t>
            </w:r>
          </w:p>
        </w:tc>
        <w:tc>
          <w:tcPr>
            <w:tcW w:w="2065" w:type="dxa"/>
          </w:tcPr>
          <w:p w:rsidR="001B1A8D" w:rsidRDefault="00853109">
            <w:pPr>
              <w:ind w:right="-547"/>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rPr>
            </w:pPr>
            <w:r>
              <w:rPr>
                <w:rFonts w:asciiTheme="majorHAnsi" w:eastAsia="Times New Roman" w:hAnsiTheme="majorHAnsi" w:cs="Arial"/>
              </w:rPr>
              <w:t>40</w:t>
            </w:r>
          </w:p>
        </w:tc>
      </w:tr>
      <w:tr w:rsidR="001B1A8D" w:rsidTr="001B1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1B1A8D" w:rsidRDefault="00853109">
            <w:pPr>
              <w:ind w:right="72"/>
              <w:jc w:val="both"/>
              <w:rPr>
                <w:rFonts w:asciiTheme="majorHAnsi" w:eastAsia="Times New Roman" w:hAnsiTheme="majorHAnsi" w:cs="Arial"/>
                <w:b w:val="0"/>
              </w:rPr>
            </w:pPr>
            <w:r>
              <w:rPr>
                <w:rFonts w:asciiTheme="majorHAnsi" w:eastAsia="Times New Roman" w:hAnsiTheme="majorHAnsi" w:cs="Arial"/>
                <w:b w:val="0"/>
              </w:rPr>
              <w:t>Direct Service Costs</w:t>
            </w:r>
          </w:p>
        </w:tc>
        <w:tc>
          <w:tcPr>
            <w:tcW w:w="5400" w:type="dxa"/>
          </w:tcPr>
          <w:p w:rsidR="001B1A8D" w:rsidRDefault="00853109">
            <w:pPr>
              <w:ind w:right="-547"/>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rPr>
            </w:pPr>
            <w:r>
              <w:rPr>
                <w:rFonts w:asciiTheme="majorHAnsi" w:eastAsia="Times New Roman" w:hAnsiTheme="majorHAnsi" w:cs="Arial"/>
              </w:rPr>
              <w:t>*$6,970 x 40 = $278,800 annually</w:t>
            </w:r>
          </w:p>
        </w:tc>
        <w:tc>
          <w:tcPr>
            <w:tcW w:w="2065" w:type="dxa"/>
          </w:tcPr>
          <w:p w:rsidR="001B1A8D" w:rsidRDefault="00853109">
            <w:pPr>
              <w:ind w:right="-547"/>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rPr>
            </w:pPr>
            <w:r>
              <w:rPr>
                <w:rFonts w:asciiTheme="majorHAnsi" w:eastAsia="Times New Roman" w:hAnsiTheme="majorHAnsi" w:cs="Arial"/>
              </w:rPr>
              <w:t>40</w:t>
            </w:r>
          </w:p>
        </w:tc>
      </w:tr>
      <w:tr w:rsidR="001B1A8D" w:rsidTr="001B1A8D">
        <w:tc>
          <w:tcPr>
            <w:cnfStyle w:val="001000000000" w:firstRow="0" w:lastRow="0" w:firstColumn="1" w:lastColumn="0" w:oddVBand="0" w:evenVBand="0" w:oddHBand="0" w:evenHBand="0" w:firstRowFirstColumn="0" w:firstRowLastColumn="0" w:lastRowFirstColumn="0" w:lastRowLastColumn="0"/>
            <w:tcW w:w="2515" w:type="dxa"/>
          </w:tcPr>
          <w:p w:rsidR="001B1A8D" w:rsidRDefault="00853109">
            <w:pPr>
              <w:ind w:right="72"/>
              <w:jc w:val="both"/>
              <w:rPr>
                <w:rFonts w:asciiTheme="majorHAnsi" w:eastAsia="Times New Roman" w:hAnsiTheme="majorHAnsi" w:cs="Arial"/>
              </w:rPr>
            </w:pPr>
            <w:r>
              <w:rPr>
                <w:rFonts w:asciiTheme="majorHAnsi" w:eastAsia="Times New Roman" w:hAnsiTheme="majorHAnsi" w:cs="Arial"/>
              </w:rPr>
              <w:t>Total per program</w:t>
            </w:r>
          </w:p>
        </w:tc>
        <w:tc>
          <w:tcPr>
            <w:tcW w:w="5400" w:type="dxa"/>
          </w:tcPr>
          <w:p w:rsidR="001B1A8D" w:rsidRDefault="00853109">
            <w:pPr>
              <w:ind w:right="-547"/>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rPr>
            </w:pPr>
            <w:r>
              <w:rPr>
                <w:rFonts w:asciiTheme="majorHAnsi" w:eastAsia="Times New Roman" w:hAnsiTheme="majorHAnsi" w:cs="Arial"/>
                <w:b/>
              </w:rPr>
              <w:t>$858,015.73</w:t>
            </w:r>
          </w:p>
        </w:tc>
        <w:tc>
          <w:tcPr>
            <w:tcW w:w="2065" w:type="dxa"/>
          </w:tcPr>
          <w:p w:rsidR="001B1A8D" w:rsidRDefault="00853109">
            <w:pPr>
              <w:ind w:right="-547"/>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rPr>
            </w:pPr>
            <w:r>
              <w:rPr>
                <w:rFonts w:asciiTheme="majorHAnsi" w:eastAsia="Times New Roman" w:hAnsiTheme="majorHAnsi" w:cs="Arial"/>
                <w:b/>
              </w:rPr>
              <w:t>40</w:t>
            </w:r>
          </w:p>
        </w:tc>
      </w:tr>
    </w:tbl>
    <w:p w:rsidR="001B1A8D" w:rsidRDefault="00853109">
      <w:pPr>
        <w:jc w:val="both"/>
        <w:rPr>
          <w:sz w:val="20"/>
        </w:rPr>
      </w:pPr>
      <w:r>
        <w:rPr>
          <w:sz w:val="20"/>
        </w:rPr>
        <w:t>*Estimates provided from survey of 17 direct service providers for victims of human trafficking, serving Los Angeles County, San Diego County, Riverside County, Fresno County, Ventura County, Orange County, Kern County, San Bernardino County, South Bay, Sa</w:t>
      </w:r>
      <w:r>
        <w:rPr>
          <w:sz w:val="20"/>
        </w:rPr>
        <w:t>n Francisco Bay Area, and the Sacramento Region.</w:t>
      </w:r>
    </w:p>
    <w:p w:rsidR="001B1A8D" w:rsidRDefault="001B1A8D">
      <w:pPr>
        <w:jc w:val="both"/>
      </w:pPr>
    </w:p>
    <w:p w:rsidR="001B1A8D" w:rsidRDefault="00853109">
      <w:pPr>
        <w:jc w:val="both"/>
        <w:rPr>
          <w:b/>
        </w:rPr>
      </w:pPr>
      <w:r>
        <w:rPr>
          <w:b/>
        </w:rPr>
        <w:t>In order for these programs to be accessible to all survivors, programs across the state must be funded:</w:t>
      </w:r>
      <w:r>
        <w:rPr>
          <w:b/>
          <w:vertAlign w:val="superscript"/>
        </w:rPr>
        <w:footnoteReference w:id="1"/>
      </w:r>
    </w:p>
    <w:tbl>
      <w:tblPr>
        <w:tblStyle w:val="GridTable1LightAccent4"/>
        <w:tblW w:w="9810" w:type="dxa"/>
        <w:tblLook w:val="04A0" w:firstRow="1" w:lastRow="0" w:firstColumn="1" w:lastColumn="0" w:noHBand="0" w:noVBand="1"/>
      </w:tblPr>
      <w:tblGrid>
        <w:gridCol w:w="4211"/>
        <w:gridCol w:w="1871"/>
        <w:gridCol w:w="3728"/>
      </w:tblGrid>
      <w:tr w:rsidR="001B1A8D" w:rsidTr="001B1A8D">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211" w:type="dxa"/>
          </w:tcPr>
          <w:p w:rsidR="001B1A8D" w:rsidRDefault="00853109">
            <w:pPr>
              <w:ind w:right="58"/>
              <w:jc w:val="both"/>
              <w:rPr>
                <w:rFonts w:asciiTheme="majorHAnsi" w:eastAsia="Times New Roman" w:hAnsiTheme="majorHAnsi" w:cs="Arial"/>
              </w:rPr>
            </w:pPr>
            <w:r>
              <w:rPr>
                <w:rFonts w:asciiTheme="majorHAnsi" w:eastAsia="Times New Roman" w:hAnsiTheme="majorHAnsi" w:cs="Arial"/>
              </w:rPr>
              <w:t>Approximate total cost for 15 programs:</w:t>
            </w:r>
          </w:p>
        </w:tc>
        <w:tc>
          <w:tcPr>
            <w:tcW w:w="1871" w:type="dxa"/>
          </w:tcPr>
          <w:p w:rsidR="001B1A8D" w:rsidRDefault="00853109">
            <w:pPr>
              <w:ind w:right="-547"/>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rPr>
            </w:pPr>
            <w:r>
              <w:rPr>
                <w:rFonts w:asciiTheme="majorHAnsi" w:eastAsia="Times New Roman" w:hAnsiTheme="majorHAnsi" w:cs="Arial"/>
              </w:rPr>
              <w:t>$12.56 Million</w:t>
            </w:r>
          </w:p>
        </w:tc>
        <w:tc>
          <w:tcPr>
            <w:tcW w:w="3728" w:type="dxa"/>
          </w:tcPr>
          <w:p w:rsidR="001B1A8D" w:rsidRDefault="00853109">
            <w:pPr>
              <w:ind w:right="-547"/>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rPr>
            </w:pPr>
            <w:r>
              <w:rPr>
                <w:rFonts w:asciiTheme="majorHAnsi" w:eastAsia="Times New Roman" w:hAnsiTheme="majorHAnsi" w:cs="Arial"/>
              </w:rPr>
              <w:t>600 trafficking survivors served</w:t>
            </w:r>
          </w:p>
        </w:tc>
      </w:tr>
    </w:tbl>
    <w:p w:rsidR="001B1A8D" w:rsidRDefault="001B1A8D">
      <w:pPr>
        <w:jc w:val="both"/>
      </w:pPr>
    </w:p>
    <w:p w:rsidR="001B1A8D" w:rsidRDefault="001B1A8D">
      <w:pPr>
        <w:jc w:val="both"/>
      </w:pPr>
    </w:p>
    <w:p w:rsidR="001B1A8D" w:rsidRDefault="00853109">
      <w:pPr>
        <w:pStyle w:val="Heading2"/>
      </w:pPr>
      <w:r>
        <w:t xml:space="preserve">Training </w:t>
      </w:r>
      <w:r>
        <w:t>and Technical Consultation</w:t>
      </w:r>
    </w:p>
    <w:p w:rsidR="001B1A8D" w:rsidRDefault="001B1A8D"/>
    <w:tbl>
      <w:tblPr>
        <w:tblStyle w:val="GridTable4Accent4"/>
        <w:tblW w:w="9980" w:type="dxa"/>
        <w:tblLook w:val="04A0" w:firstRow="1" w:lastRow="0" w:firstColumn="1" w:lastColumn="0" w:noHBand="0" w:noVBand="1"/>
      </w:tblPr>
      <w:tblGrid>
        <w:gridCol w:w="4045"/>
        <w:gridCol w:w="1890"/>
        <w:gridCol w:w="4045"/>
      </w:tblGrid>
      <w:tr w:rsidR="001B1A8D" w:rsidTr="001B1A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rsidR="001B1A8D" w:rsidRDefault="00853109">
            <w:pPr>
              <w:ind w:right="-547"/>
              <w:jc w:val="both"/>
              <w:rPr>
                <w:rFonts w:asciiTheme="majorHAnsi" w:eastAsia="Times New Roman" w:hAnsiTheme="majorHAnsi" w:cs="Arial"/>
              </w:rPr>
            </w:pPr>
            <w:r>
              <w:rPr>
                <w:rFonts w:asciiTheme="majorHAnsi" w:eastAsia="Times New Roman" w:hAnsiTheme="majorHAnsi" w:cs="Arial"/>
              </w:rPr>
              <w:t>Need</w:t>
            </w:r>
          </w:p>
        </w:tc>
        <w:tc>
          <w:tcPr>
            <w:tcW w:w="1890" w:type="dxa"/>
          </w:tcPr>
          <w:p w:rsidR="001B1A8D" w:rsidRDefault="00853109">
            <w:pPr>
              <w:ind w:right="-547"/>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rPr>
            </w:pPr>
            <w:r>
              <w:rPr>
                <w:rFonts w:asciiTheme="majorHAnsi" w:eastAsia="Times New Roman" w:hAnsiTheme="majorHAnsi" w:cs="Arial"/>
              </w:rPr>
              <w:t>Cost*</w:t>
            </w:r>
          </w:p>
        </w:tc>
        <w:tc>
          <w:tcPr>
            <w:tcW w:w="4045" w:type="dxa"/>
          </w:tcPr>
          <w:p w:rsidR="001B1A8D" w:rsidRDefault="00853109">
            <w:pPr>
              <w:ind w:right="-547"/>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rPr>
            </w:pPr>
            <w:r>
              <w:rPr>
                <w:rFonts w:asciiTheme="majorHAnsi" w:eastAsia="Times New Roman" w:hAnsiTheme="majorHAnsi" w:cs="Arial"/>
              </w:rPr>
              <w:t>Outcome</w:t>
            </w:r>
          </w:p>
        </w:tc>
      </w:tr>
      <w:tr w:rsidR="001B1A8D" w:rsidTr="001B1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rsidR="001B1A8D" w:rsidRDefault="00853109">
            <w:pPr>
              <w:rPr>
                <w:b w:val="0"/>
              </w:rPr>
            </w:pPr>
            <w:r>
              <w:rPr>
                <w:b w:val="0"/>
              </w:rPr>
              <w:t xml:space="preserve">Ongoing training for service providers, </w:t>
            </w:r>
          </w:p>
          <w:p w:rsidR="001B1A8D" w:rsidRDefault="00853109">
            <w:pPr>
              <w:rPr>
                <w:b w:val="0"/>
              </w:rPr>
            </w:pPr>
            <w:r>
              <w:rPr>
                <w:b w:val="0"/>
              </w:rPr>
              <w:t>first responders, and law enforcement</w:t>
            </w:r>
          </w:p>
        </w:tc>
        <w:tc>
          <w:tcPr>
            <w:tcW w:w="1890" w:type="dxa"/>
          </w:tcPr>
          <w:p w:rsidR="001B1A8D" w:rsidRDefault="00853109">
            <w:pPr>
              <w:cnfStyle w:val="000000100000" w:firstRow="0" w:lastRow="0" w:firstColumn="0" w:lastColumn="0" w:oddVBand="0" w:evenVBand="0" w:oddHBand="1" w:evenHBand="0" w:firstRowFirstColumn="0" w:firstRowLastColumn="0" w:lastRowFirstColumn="0" w:lastRowLastColumn="0"/>
            </w:pPr>
            <w:r>
              <w:t>$440,000</w:t>
            </w:r>
          </w:p>
        </w:tc>
        <w:tc>
          <w:tcPr>
            <w:tcW w:w="4045" w:type="dxa"/>
          </w:tcPr>
          <w:p w:rsidR="001B1A8D" w:rsidRDefault="00853109">
            <w:pPr>
              <w:cnfStyle w:val="000000100000" w:firstRow="0" w:lastRow="0" w:firstColumn="0" w:lastColumn="0" w:oddVBand="0" w:evenVBand="0" w:oddHBand="1" w:evenHBand="0" w:firstRowFirstColumn="0" w:firstRowLastColumn="0" w:lastRowFirstColumn="0" w:lastRowLastColumn="0"/>
            </w:pPr>
            <w:r>
              <w:t>Thousands of human trafficking</w:t>
            </w:r>
          </w:p>
          <w:p w:rsidR="001B1A8D" w:rsidRDefault="00853109">
            <w:pPr>
              <w:cnfStyle w:val="000000100000" w:firstRow="0" w:lastRow="0" w:firstColumn="0" w:lastColumn="0" w:oddVBand="0" w:evenVBand="0" w:oddHBand="1" w:evenHBand="0" w:firstRowFirstColumn="0" w:firstRowLastColumn="0" w:lastRowFirstColumn="0" w:lastRowLastColumn="0"/>
            </w:pPr>
            <w:r>
              <w:t xml:space="preserve"> cases prevented</w:t>
            </w:r>
          </w:p>
        </w:tc>
      </w:tr>
      <w:tr w:rsidR="001B1A8D" w:rsidTr="001B1A8D">
        <w:tc>
          <w:tcPr>
            <w:cnfStyle w:val="001000000000" w:firstRow="0" w:lastRow="0" w:firstColumn="1" w:lastColumn="0" w:oddVBand="0" w:evenVBand="0" w:oddHBand="0" w:evenHBand="0" w:firstRowFirstColumn="0" w:firstRowLastColumn="0" w:lastRowFirstColumn="0" w:lastRowLastColumn="0"/>
            <w:tcW w:w="4045" w:type="dxa"/>
          </w:tcPr>
          <w:p w:rsidR="001B1A8D" w:rsidRDefault="00853109">
            <w:pPr>
              <w:rPr>
                <w:b w:val="0"/>
              </w:rPr>
            </w:pPr>
            <w:r>
              <w:rPr>
                <w:b w:val="0"/>
              </w:rPr>
              <w:t xml:space="preserve">Centralized, statewide technical </w:t>
            </w:r>
          </w:p>
          <w:p w:rsidR="001B1A8D" w:rsidRDefault="00853109">
            <w:pPr>
              <w:rPr>
                <w:b w:val="0"/>
              </w:rPr>
            </w:pPr>
            <w:r>
              <w:rPr>
                <w:b w:val="0"/>
              </w:rPr>
              <w:t>consultation and resource provision</w:t>
            </w:r>
          </w:p>
        </w:tc>
        <w:tc>
          <w:tcPr>
            <w:tcW w:w="1890" w:type="dxa"/>
          </w:tcPr>
          <w:p w:rsidR="001B1A8D" w:rsidRDefault="00853109">
            <w:pPr>
              <w:cnfStyle w:val="000000000000" w:firstRow="0" w:lastRow="0" w:firstColumn="0" w:lastColumn="0" w:oddVBand="0" w:evenVBand="0" w:oddHBand="0" w:evenHBand="0" w:firstRowFirstColumn="0" w:firstRowLastColumn="0" w:lastRowFirstColumn="0" w:lastRowLastColumn="0"/>
            </w:pPr>
            <w:r>
              <w:t>$1 million</w:t>
            </w:r>
          </w:p>
        </w:tc>
        <w:tc>
          <w:tcPr>
            <w:tcW w:w="4045" w:type="dxa"/>
          </w:tcPr>
          <w:p w:rsidR="001B1A8D" w:rsidRDefault="00853109">
            <w:pPr>
              <w:cnfStyle w:val="000000000000" w:firstRow="0" w:lastRow="0" w:firstColumn="0" w:lastColumn="0" w:oddVBand="0" w:evenVBand="0" w:oddHBand="0" w:evenHBand="0" w:firstRowFirstColumn="0" w:firstRowLastColumn="0" w:lastRowFirstColumn="0" w:lastRowLastColumn="0"/>
            </w:pPr>
            <w:r>
              <w:t xml:space="preserve">Hundreds of human trafficking cases </w:t>
            </w:r>
          </w:p>
          <w:p w:rsidR="001B1A8D" w:rsidRDefault="00853109">
            <w:pPr>
              <w:cnfStyle w:val="000000000000" w:firstRow="0" w:lastRow="0" w:firstColumn="0" w:lastColumn="0" w:oddVBand="0" w:evenVBand="0" w:oddHBand="0" w:evenHBand="0" w:firstRowFirstColumn="0" w:firstRowLastColumn="0" w:lastRowFirstColumn="0" w:lastRowLastColumn="0"/>
            </w:pPr>
            <w:r>
              <w:t xml:space="preserve">identified earlier and existing programs </w:t>
            </w:r>
          </w:p>
          <w:p w:rsidR="001B1A8D" w:rsidRDefault="00853109">
            <w:pPr>
              <w:cnfStyle w:val="000000000000" w:firstRow="0" w:lastRow="0" w:firstColumn="0" w:lastColumn="0" w:oddVBand="0" w:evenVBand="0" w:oddHBand="0" w:evenHBand="0" w:firstRowFirstColumn="0" w:firstRowLastColumn="0" w:lastRowFirstColumn="0" w:lastRowLastColumn="0"/>
            </w:pPr>
            <w:r>
              <w:t>can more effectively serve survivors</w:t>
            </w:r>
          </w:p>
        </w:tc>
      </w:tr>
      <w:tr w:rsidR="001B1A8D" w:rsidTr="001B1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rsidR="001B1A8D" w:rsidRDefault="00853109">
            <w:pPr>
              <w:ind w:right="72"/>
              <w:jc w:val="both"/>
              <w:rPr>
                <w:rFonts w:asciiTheme="majorHAnsi" w:eastAsia="Times New Roman" w:hAnsiTheme="majorHAnsi" w:cs="Arial"/>
              </w:rPr>
            </w:pPr>
            <w:r>
              <w:rPr>
                <w:rFonts w:asciiTheme="majorHAnsi" w:eastAsia="Times New Roman" w:hAnsiTheme="majorHAnsi" w:cs="Arial"/>
              </w:rPr>
              <w:t xml:space="preserve">Total </w:t>
            </w:r>
          </w:p>
        </w:tc>
        <w:tc>
          <w:tcPr>
            <w:tcW w:w="1890" w:type="dxa"/>
          </w:tcPr>
          <w:p w:rsidR="001B1A8D" w:rsidRDefault="00853109">
            <w:pPr>
              <w:ind w:right="-547"/>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rPr>
            </w:pPr>
            <w:r>
              <w:rPr>
                <w:rFonts w:asciiTheme="majorHAnsi" w:eastAsia="Times New Roman" w:hAnsiTheme="majorHAnsi" w:cs="Arial"/>
                <w:b/>
              </w:rPr>
              <w:t>$1.44 million</w:t>
            </w:r>
          </w:p>
        </w:tc>
        <w:tc>
          <w:tcPr>
            <w:tcW w:w="4045" w:type="dxa"/>
          </w:tcPr>
          <w:p w:rsidR="001B1A8D" w:rsidRDefault="001B1A8D">
            <w:pPr>
              <w:ind w:right="-547"/>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rPr>
            </w:pPr>
          </w:p>
        </w:tc>
      </w:tr>
    </w:tbl>
    <w:p w:rsidR="001B1A8D" w:rsidRDefault="001B1A8D">
      <w:pPr>
        <w:jc w:val="both"/>
      </w:pPr>
    </w:p>
    <w:p w:rsidR="001B1A8D" w:rsidRDefault="00853109">
      <w:pPr>
        <w:pStyle w:val="Heading2"/>
      </w:pPr>
      <w:r>
        <w:t xml:space="preserve">Prevalence Study </w:t>
      </w:r>
    </w:p>
    <w:p w:rsidR="001B1A8D" w:rsidRDefault="001B1A8D"/>
    <w:tbl>
      <w:tblPr>
        <w:tblStyle w:val="GridTable4Accent4"/>
        <w:tblW w:w="9980" w:type="dxa"/>
        <w:tblLook w:val="04A0" w:firstRow="1" w:lastRow="0" w:firstColumn="1" w:lastColumn="0" w:noHBand="0" w:noVBand="1"/>
      </w:tblPr>
      <w:tblGrid>
        <w:gridCol w:w="4045"/>
        <w:gridCol w:w="1890"/>
        <w:gridCol w:w="4045"/>
      </w:tblGrid>
      <w:tr w:rsidR="001B1A8D" w:rsidTr="001B1A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rsidR="001B1A8D" w:rsidRDefault="00853109">
            <w:pPr>
              <w:ind w:right="-547"/>
              <w:jc w:val="both"/>
              <w:rPr>
                <w:rFonts w:asciiTheme="majorHAnsi" w:eastAsia="Times New Roman" w:hAnsiTheme="majorHAnsi" w:cs="Arial"/>
              </w:rPr>
            </w:pPr>
            <w:r>
              <w:rPr>
                <w:rFonts w:asciiTheme="majorHAnsi" w:eastAsia="Times New Roman" w:hAnsiTheme="majorHAnsi" w:cs="Arial"/>
              </w:rPr>
              <w:t>Need</w:t>
            </w:r>
          </w:p>
        </w:tc>
        <w:tc>
          <w:tcPr>
            <w:tcW w:w="1890" w:type="dxa"/>
          </w:tcPr>
          <w:p w:rsidR="001B1A8D" w:rsidRDefault="00853109">
            <w:pPr>
              <w:ind w:right="-547"/>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rPr>
            </w:pPr>
            <w:r>
              <w:rPr>
                <w:rFonts w:asciiTheme="majorHAnsi" w:eastAsia="Times New Roman" w:hAnsiTheme="majorHAnsi" w:cs="Arial"/>
              </w:rPr>
              <w:t>Cost*</w:t>
            </w:r>
          </w:p>
        </w:tc>
        <w:tc>
          <w:tcPr>
            <w:tcW w:w="4045" w:type="dxa"/>
          </w:tcPr>
          <w:p w:rsidR="001B1A8D" w:rsidRDefault="00853109">
            <w:pPr>
              <w:ind w:right="-547"/>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rPr>
            </w:pPr>
            <w:r>
              <w:rPr>
                <w:rFonts w:asciiTheme="majorHAnsi" w:eastAsia="Times New Roman" w:hAnsiTheme="majorHAnsi" w:cs="Arial"/>
              </w:rPr>
              <w:t>Outcome</w:t>
            </w:r>
          </w:p>
        </w:tc>
      </w:tr>
      <w:tr w:rsidR="001B1A8D" w:rsidTr="001B1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rsidR="001B1A8D" w:rsidRDefault="00853109">
            <w:pPr>
              <w:ind w:right="162"/>
              <w:jc w:val="both"/>
              <w:rPr>
                <w:rFonts w:asciiTheme="majorHAnsi" w:eastAsia="Times New Roman" w:hAnsiTheme="majorHAnsi" w:cs="Arial"/>
                <w:b w:val="0"/>
              </w:rPr>
            </w:pPr>
            <w:r>
              <w:rPr>
                <w:rFonts w:asciiTheme="majorHAnsi" w:eastAsia="Times New Roman" w:hAnsiTheme="majorHAnsi" w:cs="Arial"/>
                <w:b w:val="0"/>
              </w:rPr>
              <w:t xml:space="preserve">Comprehensive, statewide research study of the prevalence of </w:t>
            </w:r>
            <w:r>
              <w:rPr>
                <w:rFonts w:asciiTheme="majorHAnsi" w:eastAsia="Times New Roman" w:hAnsiTheme="majorHAnsi" w:cs="Arial"/>
                <w:b w:val="0"/>
              </w:rPr>
              <w:t>human trafficking in California, which will last for a total of three years, and will reoccur every six years.</w:t>
            </w:r>
          </w:p>
        </w:tc>
        <w:tc>
          <w:tcPr>
            <w:tcW w:w="1890" w:type="dxa"/>
          </w:tcPr>
          <w:p w:rsidR="001B1A8D" w:rsidRDefault="00853109">
            <w:pPr>
              <w:ind w:right="16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rPr>
            </w:pPr>
            <w:r>
              <w:rPr>
                <w:rFonts w:asciiTheme="majorHAnsi" w:eastAsia="Times New Roman" w:hAnsiTheme="majorHAnsi" w:cs="Arial"/>
              </w:rPr>
              <w:t>This study will occur once every six years, for a total cost of $3 million, which is $500,000 annually.</w:t>
            </w:r>
          </w:p>
        </w:tc>
        <w:tc>
          <w:tcPr>
            <w:tcW w:w="4045" w:type="dxa"/>
          </w:tcPr>
          <w:p w:rsidR="001B1A8D" w:rsidRDefault="00853109">
            <w:pPr>
              <w:ind w:right="16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rPr>
            </w:pPr>
            <w:r>
              <w:rPr>
                <w:rFonts w:asciiTheme="majorHAnsi" w:eastAsia="Times New Roman" w:hAnsiTheme="majorHAnsi" w:cs="Arial"/>
              </w:rPr>
              <w:t>California will have a data informed, evi</w:t>
            </w:r>
            <w:r>
              <w:rPr>
                <w:rFonts w:asciiTheme="majorHAnsi" w:eastAsia="Times New Roman" w:hAnsiTheme="majorHAnsi" w:cs="Arial"/>
              </w:rPr>
              <w:t>dence-based estimate of the prevalence of human trafficking within the entire state. This study will provide valuable demographic information on trafficking victims, in order to help both law enforcement and service providers in strategically targeting the</w:t>
            </w:r>
            <w:r>
              <w:rPr>
                <w:rFonts w:asciiTheme="majorHAnsi" w:eastAsia="Times New Roman" w:hAnsiTheme="majorHAnsi" w:cs="Arial"/>
              </w:rPr>
              <w:t>ir efforts.</w:t>
            </w:r>
          </w:p>
        </w:tc>
      </w:tr>
      <w:tr w:rsidR="001B1A8D" w:rsidTr="001B1A8D">
        <w:tc>
          <w:tcPr>
            <w:cnfStyle w:val="001000000000" w:firstRow="0" w:lastRow="0" w:firstColumn="1" w:lastColumn="0" w:oddVBand="0" w:evenVBand="0" w:oddHBand="0" w:evenHBand="0" w:firstRowFirstColumn="0" w:firstRowLastColumn="0" w:lastRowFirstColumn="0" w:lastRowLastColumn="0"/>
            <w:tcW w:w="4045" w:type="dxa"/>
          </w:tcPr>
          <w:p w:rsidR="001B1A8D" w:rsidRDefault="00853109">
            <w:pPr>
              <w:ind w:right="72"/>
              <w:jc w:val="both"/>
              <w:rPr>
                <w:rFonts w:asciiTheme="majorHAnsi" w:eastAsia="Times New Roman" w:hAnsiTheme="majorHAnsi" w:cs="Arial"/>
              </w:rPr>
            </w:pPr>
            <w:r>
              <w:rPr>
                <w:rFonts w:asciiTheme="majorHAnsi" w:eastAsia="Times New Roman" w:hAnsiTheme="majorHAnsi" w:cs="Arial"/>
              </w:rPr>
              <w:t xml:space="preserve">Total </w:t>
            </w:r>
          </w:p>
        </w:tc>
        <w:tc>
          <w:tcPr>
            <w:tcW w:w="1890" w:type="dxa"/>
          </w:tcPr>
          <w:p w:rsidR="001B1A8D" w:rsidRDefault="00853109">
            <w:pPr>
              <w:ind w:right="-547"/>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rPr>
            </w:pPr>
            <w:r>
              <w:rPr>
                <w:rFonts w:asciiTheme="majorHAnsi" w:eastAsia="Times New Roman" w:hAnsiTheme="majorHAnsi" w:cs="Arial"/>
                <w:b/>
              </w:rPr>
              <w:t>$500,000</w:t>
            </w:r>
          </w:p>
        </w:tc>
        <w:tc>
          <w:tcPr>
            <w:tcW w:w="4045" w:type="dxa"/>
          </w:tcPr>
          <w:p w:rsidR="001B1A8D" w:rsidRDefault="001B1A8D">
            <w:pPr>
              <w:ind w:right="-547"/>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rPr>
            </w:pPr>
          </w:p>
        </w:tc>
      </w:tr>
    </w:tbl>
    <w:p w:rsidR="001B1A8D" w:rsidRDefault="001B1A8D"/>
    <w:p w:rsidR="001B1A8D" w:rsidRDefault="00853109">
      <w:pPr>
        <w:pStyle w:val="Heading2"/>
      </w:pPr>
      <w:r>
        <w:lastRenderedPageBreak/>
        <w:t>Evaluation of Service Providers</w:t>
      </w:r>
    </w:p>
    <w:p w:rsidR="001B1A8D" w:rsidRDefault="001B1A8D"/>
    <w:tbl>
      <w:tblPr>
        <w:tblStyle w:val="GridTable4Accent4"/>
        <w:tblW w:w="10070" w:type="dxa"/>
        <w:tblLook w:val="04A0" w:firstRow="1" w:lastRow="0" w:firstColumn="1" w:lastColumn="0" w:noHBand="0" w:noVBand="1"/>
      </w:tblPr>
      <w:tblGrid>
        <w:gridCol w:w="3595"/>
        <w:gridCol w:w="2430"/>
        <w:gridCol w:w="4045"/>
      </w:tblGrid>
      <w:tr w:rsidR="001B1A8D" w:rsidTr="001B1A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rsidR="001B1A8D" w:rsidRDefault="00853109">
            <w:pPr>
              <w:ind w:right="-547"/>
              <w:jc w:val="both"/>
              <w:rPr>
                <w:rFonts w:asciiTheme="majorHAnsi" w:eastAsia="Times New Roman" w:hAnsiTheme="majorHAnsi" w:cs="Arial"/>
              </w:rPr>
            </w:pPr>
            <w:r>
              <w:rPr>
                <w:rFonts w:asciiTheme="majorHAnsi" w:eastAsia="Times New Roman" w:hAnsiTheme="majorHAnsi" w:cs="Arial"/>
              </w:rPr>
              <w:t>Need</w:t>
            </w:r>
          </w:p>
        </w:tc>
        <w:tc>
          <w:tcPr>
            <w:tcW w:w="2430" w:type="dxa"/>
          </w:tcPr>
          <w:p w:rsidR="001B1A8D" w:rsidRDefault="00853109">
            <w:pPr>
              <w:ind w:right="-547"/>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rPr>
            </w:pPr>
            <w:r>
              <w:rPr>
                <w:rFonts w:asciiTheme="majorHAnsi" w:eastAsia="Times New Roman" w:hAnsiTheme="majorHAnsi" w:cs="Arial"/>
              </w:rPr>
              <w:t>Cost*</w:t>
            </w:r>
          </w:p>
        </w:tc>
        <w:tc>
          <w:tcPr>
            <w:tcW w:w="4045" w:type="dxa"/>
          </w:tcPr>
          <w:p w:rsidR="001B1A8D" w:rsidRDefault="00853109">
            <w:pPr>
              <w:ind w:right="-547"/>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rPr>
            </w:pPr>
            <w:r>
              <w:rPr>
                <w:rFonts w:asciiTheme="majorHAnsi" w:eastAsia="Times New Roman" w:hAnsiTheme="majorHAnsi" w:cs="Arial"/>
              </w:rPr>
              <w:t>Outcome</w:t>
            </w:r>
          </w:p>
        </w:tc>
      </w:tr>
      <w:tr w:rsidR="001B1A8D" w:rsidTr="001B1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rsidR="001B1A8D" w:rsidRDefault="00853109">
            <w:pPr>
              <w:ind w:right="72"/>
              <w:rPr>
                <w:rFonts w:asciiTheme="majorHAnsi" w:eastAsia="Times New Roman" w:hAnsiTheme="majorHAnsi" w:cs="Arial"/>
                <w:b w:val="0"/>
                <w:sz w:val="24"/>
                <w:szCs w:val="24"/>
              </w:rPr>
            </w:pPr>
            <w:r>
              <w:rPr>
                <w:rFonts w:asciiTheme="majorHAnsi" w:eastAsia="Times New Roman" w:hAnsiTheme="majorHAnsi" w:cs="Arial"/>
                <w:b w:val="0"/>
                <w:sz w:val="24"/>
                <w:szCs w:val="24"/>
              </w:rPr>
              <w:t>Collection and evaluation of robust data on methods and outcomes of the organizations</w:t>
            </w:r>
            <w:r>
              <w:rPr>
                <w:rFonts w:asciiTheme="majorHAnsi" w:eastAsia="Times New Roman" w:hAnsiTheme="majorHAnsi" w:cs="Arial"/>
                <w:b w:val="0"/>
                <w:szCs w:val="24"/>
              </w:rPr>
              <w:t xml:space="preserve"> </w:t>
            </w:r>
            <w:r>
              <w:rPr>
                <w:rFonts w:asciiTheme="majorHAnsi" w:eastAsia="Times New Roman" w:hAnsiTheme="majorHAnsi" w:cs="Arial"/>
                <w:b w:val="0"/>
                <w:sz w:val="24"/>
                <w:szCs w:val="24"/>
              </w:rPr>
              <w:t>receiving Cal OES grant funding.</w:t>
            </w:r>
          </w:p>
        </w:tc>
        <w:tc>
          <w:tcPr>
            <w:tcW w:w="2430" w:type="dxa"/>
          </w:tcPr>
          <w:p w:rsidR="001B1A8D" w:rsidRDefault="00853109">
            <w:pPr>
              <w:ind w:right="-547"/>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4"/>
                <w:szCs w:val="24"/>
              </w:rPr>
            </w:pPr>
            <w:r>
              <w:rPr>
                <w:rFonts w:asciiTheme="majorHAnsi" w:eastAsia="Times New Roman" w:hAnsiTheme="majorHAnsi" w:cs="Arial"/>
                <w:sz w:val="24"/>
                <w:szCs w:val="24"/>
              </w:rPr>
              <w:t>This study will</w:t>
            </w:r>
          </w:p>
          <w:p w:rsidR="001B1A8D" w:rsidRDefault="00853109">
            <w:pPr>
              <w:ind w:right="-547"/>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4"/>
                <w:szCs w:val="24"/>
              </w:rPr>
            </w:pPr>
            <w:r>
              <w:rPr>
                <w:rFonts w:asciiTheme="majorHAnsi" w:eastAsia="Times New Roman" w:hAnsiTheme="majorHAnsi" w:cs="Arial"/>
                <w:sz w:val="24"/>
                <w:szCs w:val="24"/>
              </w:rPr>
              <w:t xml:space="preserve">occur once every </w:t>
            </w:r>
          </w:p>
          <w:p w:rsidR="001B1A8D" w:rsidRDefault="00853109">
            <w:pPr>
              <w:ind w:right="-547"/>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4"/>
                <w:szCs w:val="24"/>
              </w:rPr>
            </w:pPr>
            <w:r>
              <w:rPr>
                <w:rFonts w:asciiTheme="majorHAnsi" w:eastAsia="Times New Roman" w:hAnsiTheme="majorHAnsi" w:cs="Arial"/>
                <w:sz w:val="24"/>
                <w:szCs w:val="24"/>
              </w:rPr>
              <w:t xml:space="preserve">six years, for a </w:t>
            </w:r>
          </w:p>
          <w:p w:rsidR="001B1A8D" w:rsidRDefault="00853109">
            <w:pPr>
              <w:ind w:right="-547"/>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4"/>
                <w:szCs w:val="24"/>
              </w:rPr>
            </w:pPr>
            <w:r>
              <w:rPr>
                <w:rFonts w:asciiTheme="majorHAnsi" w:eastAsia="Times New Roman" w:hAnsiTheme="majorHAnsi" w:cs="Arial"/>
                <w:sz w:val="24"/>
                <w:szCs w:val="24"/>
              </w:rPr>
              <w:t>total cost of</w:t>
            </w:r>
          </w:p>
          <w:p w:rsidR="001B1A8D" w:rsidRDefault="00853109">
            <w:pPr>
              <w:ind w:right="-547"/>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4"/>
                <w:szCs w:val="24"/>
              </w:rPr>
            </w:pPr>
            <w:r>
              <w:rPr>
                <w:rFonts w:asciiTheme="majorHAnsi" w:eastAsia="Times New Roman" w:hAnsiTheme="majorHAnsi" w:cs="Arial"/>
                <w:sz w:val="24"/>
                <w:szCs w:val="24"/>
              </w:rPr>
              <w:t xml:space="preserve">$3 million, which is </w:t>
            </w:r>
          </w:p>
          <w:p w:rsidR="001B1A8D" w:rsidRDefault="0085310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4"/>
                <w:szCs w:val="24"/>
              </w:rPr>
            </w:pPr>
            <w:r>
              <w:rPr>
                <w:rFonts w:asciiTheme="majorHAnsi" w:eastAsia="Times New Roman" w:hAnsiTheme="majorHAnsi" w:cs="Arial"/>
                <w:sz w:val="24"/>
                <w:szCs w:val="24"/>
              </w:rPr>
              <w:t>$500,000 annually.</w:t>
            </w:r>
          </w:p>
          <w:p w:rsidR="001B1A8D" w:rsidRDefault="001B1A8D">
            <w:pPr>
              <w:ind w:right="-547"/>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4"/>
                <w:szCs w:val="24"/>
              </w:rPr>
            </w:pPr>
          </w:p>
        </w:tc>
        <w:tc>
          <w:tcPr>
            <w:tcW w:w="4045" w:type="dxa"/>
          </w:tcPr>
          <w:p w:rsidR="001B1A8D" w:rsidRDefault="00853109">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 xml:space="preserve">California can evaluate state funded trafficking programs and Cal OES can adjust its </w:t>
            </w:r>
            <w:r>
              <w:rPr>
                <w:rFonts w:asciiTheme="majorHAnsi" w:hAnsiTheme="majorHAnsi"/>
                <w:szCs w:val="24"/>
              </w:rPr>
              <w:t>R</w:t>
            </w:r>
            <w:r>
              <w:rPr>
                <w:rFonts w:asciiTheme="majorHAnsi" w:hAnsiTheme="majorHAnsi"/>
                <w:sz w:val="24"/>
                <w:szCs w:val="24"/>
              </w:rPr>
              <w:t>equest for Proposal process accordingly, to ensure that state funded programs are using effective, evidence based,</w:t>
            </w:r>
            <w:r>
              <w:rPr>
                <w:rFonts w:asciiTheme="majorHAnsi" w:hAnsiTheme="majorHAnsi"/>
                <w:sz w:val="24"/>
                <w:szCs w:val="24"/>
              </w:rPr>
              <w:t xml:space="preserve"> trauma informed practices. </w:t>
            </w:r>
          </w:p>
        </w:tc>
      </w:tr>
      <w:tr w:rsidR="001B1A8D" w:rsidTr="001B1A8D">
        <w:tc>
          <w:tcPr>
            <w:cnfStyle w:val="001000000000" w:firstRow="0" w:lastRow="0" w:firstColumn="1" w:lastColumn="0" w:oddVBand="0" w:evenVBand="0" w:oddHBand="0" w:evenHBand="0" w:firstRowFirstColumn="0" w:firstRowLastColumn="0" w:lastRowFirstColumn="0" w:lastRowLastColumn="0"/>
            <w:tcW w:w="3595" w:type="dxa"/>
          </w:tcPr>
          <w:p w:rsidR="001B1A8D" w:rsidRDefault="00853109">
            <w:pPr>
              <w:ind w:right="72"/>
              <w:jc w:val="both"/>
              <w:rPr>
                <w:rFonts w:asciiTheme="majorHAnsi" w:eastAsia="Times New Roman" w:hAnsiTheme="majorHAnsi" w:cs="Arial"/>
              </w:rPr>
            </w:pPr>
            <w:r>
              <w:rPr>
                <w:rFonts w:asciiTheme="majorHAnsi" w:eastAsia="Times New Roman" w:hAnsiTheme="majorHAnsi" w:cs="Arial"/>
              </w:rPr>
              <w:t xml:space="preserve">Total </w:t>
            </w:r>
          </w:p>
        </w:tc>
        <w:tc>
          <w:tcPr>
            <w:tcW w:w="2430" w:type="dxa"/>
          </w:tcPr>
          <w:p w:rsidR="001B1A8D" w:rsidRDefault="00853109">
            <w:pPr>
              <w:ind w:right="-547"/>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rPr>
            </w:pPr>
            <w:r>
              <w:rPr>
                <w:rFonts w:asciiTheme="majorHAnsi" w:eastAsia="Times New Roman" w:hAnsiTheme="majorHAnsi" w:cs="Arial"/>
                <w:b/>
              </w:rPr>
              <w:t>$500,000</w:t>
            </w:r>
          </w:p>
        </w:tc>
        <w:tc>
          <w:tcPr>
            <w:tcW w:w="4045" w:type="dxa"/>
          </w:tcPr>
          <w:p w:rsidR="001B1A8D" w:rsidRDefault="001B1A8D">
            <w:pPr>
              <w:ind w:right="-547"/>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rPr>
            </w:pPr>
          </w:p>
        </w:tc>
      </w:tr>
    </w:tbl>
    <w:p w:rsidR="001B1A8D" w:rsidRDefault="001B1A8D"/>
    <w:p w:rsidR="001B1A8D" w:rsidRDefault="001B1A8D"/>
    <w:p w:rsidR="001B1A8D" w:rsidRDefault="00853109">
      <w:pPr>
        <w:pStyle w:val="Heading1"/>
      </w:pPr>
      <w:r>
        <w:t>Conclusion</w:t>
      </w:r>
    </w:p>
    <w:p w:rsidR="001B1A8D" w:rsidRDefault="00853109">
      <w:pPr>
        <w:spacing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In recent years, the California State Legislature has taken important first steps in improving access to comprehensive services by approving one-time funding requests. These one-time funding allocations have greatly impacted and benefitted the victims of m</w:t>
      </w:r>
      <w:r>
        <w:rPr>
          <w:rFonts w:asciiTheme="majorHAnsi" w:eastAsia="Calibri" w:hAnsiTheme="majorHAnsi" w:cs="Times New Roman"/>
          <w:sz w:val="24"/>
          <w:szCs w:val="24"/>
        </w:rPr>
        <w:t>odern day slavery and the people of California. However, a continuing budget request of $15 million is essential in ensuring the continued funding of these necessary service providers as well as fund the prevalence and evaluation studies that would provide</w:t>
      </w:r>
      <w:r>
        <w:rPr>
          <w:rFonts w:asciiTheme="majorHAnsi" w:eastAsia="Calibri" w:hAnsiTheme="majorHAnsi" w:cs="Times New Roman"/>
          <w:sz w:val="24"/>
          <w:szCs w:val="24"/>
        </w:rPr>
        <w:t xml:space="preserve"> California and the rest of the United States with crucially needed information about the prevalence of human trafficking and the best methods for addressing the needs of victims. By approving this continuing budget request, Governor Jerry Brown will estab</w:t>
      </w:r>
      <w:r>
        <w:rPr>
          <w:rFonts w:asciiTheme="majorHAnsi" w:eastAsia="Calibri" w:hAnsiTheme="majorHAnsi" w:cs="Times New Roman"/>
          <w:sz w:val="24"/>
          <w:szCs w:val="24"/>
        </w:rPr>
        <w:t xml:space="preserve">lish an enduring legacy of championing the needs of human trafficking victims. </w:t>
      </w:r>
    </w:p>
    <w:p w:rsidR="001B1A8D" w:rsidRDefault="001B1A8D"/>
    <w:p w:rsidR="001B1A8D" w:rsidRDefault="00853109">
      <w:pPr>
        <w:jc w:val="both"/>
        <w:rPr>
          <w:b/>
        </w:rPr>
      </w:pPr>
      <w:r>
        <w:rPr>
          <w:b/>
        </w:rPr>
        <w:t>Coalition to Abolish Slavery &amp; Trafficking (CAST) Contacts:</w:t>
      </w:r>
    </w:p>
    <w:p w:rsidR="001B1A8D" w:rsidRDefault="001B1A8D">
      <w:pPr>
        <w:jc w:val="both"/>
        <w:rPr>
          <w:b/>
        </w:rPr>
      </w:pPr>
    </w:p>
    <w:p w:rsidR="001B1A8D" w:rsidRDefault="00853109">
      <w:pPr>
        <w:numPr>
          <w:ilvl w:val="0"/>
          <w:numId w:val="4"/>
        </w:numPr>
        <w:jc w:val="both"/>
      </w:pPr>
      <w:r>
        <w:t xml:space="preserve">Stephanie Richard, Policy &amp; Legal Services Director, (213)-3655249, </w:t>
      </w:r>
      <w:hyperlink r:id="rId9" w:history="1">
        <w:r>
          <w:rPr>
            <w:rStyle w:val="Hyperlink"/>
          </w:rPr>
          <w:t>St</w:t>
        </w:r>
        <w:r>
          <w:rPr>
            <w:rStyle w:val="Hyperlink"/>
          </w:rPr>
          <w:t>ephanie@castla.org</w:t>
        </w:r>
      </w:hyperlink>
    </w:p>
    <w:p w:rsidR="001B1A8D" w:rsidRDefault="00853109">
      <w:pPr>
        <w:numPr>
          <w:ilvl w:val="0"/>
          <w:numId w:val="4"/>
        </w:numPr>
        <w:jc w:val="both"/>
      </w:pPr>
      <w:r>
        <w:t xml:space="preserve">Kay Buck, Executive Director (213) 365-0887, </w:t>
      </w:r>
      <w:hyperlink r:id="rId10" w:history="1">
        <w:r>
          <w:rPr>
            <w:rStyle w:val="Hyperlink"/>
          </w:rPr>
          <w:t>Kay@castla.org</w:t>
        </w:r>
      </w:hyperlink>
    </w:p>
    <w:p w:rsidR="001B1A8D" w:rsidRDefault="001B1A8D">
      <w:pPr>
        <w:jc w:val="both"/>
      </w:pPr>
    </w:p>
    <w:p w:rsidR="001B1A8D" w:rsidRDefault="001B1A8D">
      <w:pPr>
        <w:jc w:val="both"/>
      </w:pPr>
    </w:p>
    <w:p w:rsidR="001B1A8D" w:rsidRDefault="001B1A8D">
      <w:pPr>
        <w:jc w:val="both"/>
      </w:pPr>
    </w:p>
    <w:p w:rsidR="001B1A8D" w:rsidRDefault="00853109">
      <w:pPr>
        <w:jc w:val="both"/>
      </w:pPr>
      <w:r>
        <w:rPr>
          <w:rFonts w:ascii="Garamond" w:eastAsia="Calibri" w:hAnsi="Garamond"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499745</wp:posOffset>
                </wp:positionV>
                <wp:extent cx="6162675" cy="1619250"/>
                <wp:effectExtent l="0" t="0" r="28575" b="19050"/>
                <wp:wrapSquare wrapText="bothSides"/>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1925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1B1A8D" w:rsidRDefault="00853109">
                            <w:pPr>
                              <w:jc w:val="center"/>
                              <w:rPr>
                                <w:rFonts w:asciiTheme="majorHAnsi" w:hAnsiTheme="majorHAnsi"/>
                                <w:b/>
                                <w:bCs/>
                                <w:smallCaps/>
                                <w:szCs w:val="28"/>
                              </w:rPr>
                            </w:pPr>
                            <w:r>
                              <w:rPr>
                                <w:rFonts w:asciiTheme="majorHAnsi" w:hAnsiTheme="majorHAnsi"/>
                                <w:b/>
                                <w:bCs/>
                                <w:smallCaps/>
                                <w:szCs w:val="28"/>
                              </w:rPr>
                              <w:t>Coalition to Abolish Slavery and Trafficking</w:t>
                            </w:r>
                          </w:p>
                          <w:p w:rsidR="001B1A8D" w:rsidRDefault="00853109">
                            <w:pPr>
                              <w:rPr>
                                <w:rFonts w:asciiTheme="majorHAnsi" w:hAnsiTheme="majorHAnsi"/>
                                <w:sz w:val="20"/>
                              </w:rPr>
                            </w:pPr>
                            <w:r>
                              <w:rPr>
                                <w:rFonts w:asciiTheme="majorHAnsi" w:hAnsiTheme="majorHAnsi"/>
                                <w:sz w:val="20"/>
                              </w:rPr>
                              <w:t>Systemic change is at the core of CAST’s mission. Taking a survivor-centered approach to ending modern slavery, CAST has a proven track record of working directly with survivors of human trafficking which builds an important bridge between practice and pol</w:t>
                            </w:r>
                            <w:r>
                              <w:rPr>
                                <w:rFonts w:asciiTheme="majorHAnsi" w:hAnsiTheme="majorHAnsi"/>
                                <w:sz w:val="20"/>
                              </w:rPr>
                              <w:t xml:space="preserve">icy to inform effective policy initiatives. By developing broad-based partnerships, CAST effectively advocates for policies that work to end human trafficking and help survivors rebuild their lives.  </w:t>
                            </w:r>
                          </w:p>
                          <w:p w:rsidR="001B1A8D" w:rsidRDefault="00853109">
                            <w:pPr>
                              <w:spacing w:line="240" w:lineRule="auto"/>
                              <w:jc w:val="center"/>
                              <w:rPr>
                                <w:rFonts w:asciiTheme="majorHAnsi" w:hAnsiTheme="majorHAnsi"/>
                                <w:b/>
                                <w:sz w:val="20"/>
                                <w:szCs w:val="16"/>
                              </w:rPr>
                            </w:pPr>
                            <w:r>
                              <w:rPr>
                                <w:rFonts w:asciiTheme="majorHAnsi" w:hAnsiTheme="majorHAnsi"/>
                                <w:b/>
                                <w:sz w:val="20"/>
                                <w:szCs w:val="16"/>
                              </w:rPr>
                              <w:t xml:space="preserve">Coalition to Abolish Slavery &amp; Trafficking (CAST) </w:t>
                            </w:r>
                          </w:p>
                          <w:p w:rsidR="001B1A8D" w:rsidRDefault="00853109">
                            <w:pPr>
                              <w:spacing w:line="240" w:lineRule="auto"/>
                              <w:jc w:val="center"/>
                              <w:rPr>
                                <w:rFonts w:asciiTheme="majorHAnsi" w:hAnsiTheme="majorHAnsi"/>
                                <w:b/>
                                <w:sz w:val="20"/>
                                <w:szCs w:val="16"/>
                              </w:rPr>
                            </w:pPr>
                            <w:r>
                              <w:rPr>
                                <w:rFonts w:asciiTheme="majorHAnsi" w:hAnsiTheme="majorHAnsi"/>
                                <w:b/>
                                <w:sz w:val="20"/>
                                <w:szCs w:val="16"/>
                              </w:rPr>
                              <w:t>5042</w:t>
                            </w:r>
                            <w:r>
                              <w:rPr>
                                <w:rFonts w:asciiTheme="majorHAnsi" w:hAnsiTheme="majorHAnsi"/>
                                <w:b/>
                                <w:sz w:val="20"/>
                                <w:szCs w:val="16"/>
                              </w:rPr>
                              <w:t xml:space="preserve"> Wilshire Blvd #586, L.A., CA  90036 </w:t>
                            </w:r>
                          </w:p>
                          <w:p w:rsidR="001B1A8D" w:rsidRDefault="00853109">
                            <w:pPr>
                              <w:spacing w:line="240" w:lineRule="auto"/>
                              <w:jc w:val="center"/>
                              <w:rPr>
                                <w:rFonts w:asciiTheme="majorHAnsi" w:hAnsiTheme="majorHAnsi"/>
                                <w:b/>
                                <w:sz w:val="20"/>
                                <w:szCs w:val="16"/>
                              </w:rPr>
                            </w:pPr>
                            <w:r>
                              <w:rPr>
                                <w:rFonts w:asciiTheme="majorHAnsi" w:hAnsiTheme="majorHAnsi"/>
                                <w:b/>
                                <w:sz w:val="20"/>
                                <w:szCs w:val="16"/>
                              </w:rPr>
                              <w:t xml:space="preserve">(213) 365-1906 </w:t>
                            </w:r>
                          </w:p>
                          <w:p w:rsidR="001B1A8D" w:rsidRDefault="00853109">
                            <w:pPr>
                              <w:jc w:val="center"/>
                              <w:rPr>
                                <w:rFonts w:asciiTheme="majorHAnsi" w:hAnsiTheme="majorHAnsi"/>
                                <w:b/>
                                <w:sz w:val="20"/>
                                <w:szCs w:val="16"/>
                              </w:rPr>
                            </w:pPr>
                            <w:hyperlink r:id="rId11" w:history="1">
                              <w:r>
                                <w:rPr>
                                  <w:rStyle w:val="Hyperlink"/>
                                  <w:rFonts w:asciiTheme="majorHAnsi" w:hAnsiTheme="majorHAnsi"/>
                                  <w:b/>
                                  <w:color w:val="auto"/>
                                  <w:sz w:val="20"/>
                                  <w:szCs w:val="16"/>
                                </w:rPr>
                                <w:t>info@castla.org</w:t>
                              </w:r>
                            </w:hyperlink>
                            <w:r>
                              <w:rPr>
                                <w:rFonts w:asciiTheme="majorHAnsi" w:hAnsiTheme="majorHAnsi"/>
                                <w:b/>
                                <w:sz w:val="20"/>
                                <w:szCs w:val="16"/>
                              </w:rPr>
                              <w:t xml:space="preserve">    www.castla.org</w:t>
                            </w:r>
                          </w:p>
                          <w:p w:rsidR="001B1A8D" w:rsidRDefault="001B1A8D">
                            <w:pPr>
                              <w:rPr>
                                <w:rFonts w:asciiTheme="majorHAnsi" w:hAnsiTheme="majorHAnsi"/>
                                <w:sz w:val="20"/>
                              </w:rPr>
                            </w:pPr>
                          </w:p>
                          <w:p w:rsidR="001B1A8D" w:rsidRDefault="001B1A8D">
                            <w:pP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75pt;margin-top:39.35pt;width:485.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" filled="f">
                <v:textbox inset=",7.2pt,,7.2pt">
                  <w:txbxContent>
                    <w:p>
                      <w:pPr>
                        <w:jc w:val="center"/>
                        <w:rPr>
                          <w:rFonts w:asciiTheme="majorHAnsi" w:hAnsiTheme="majorHAnsi"/>
                          <w:b/>
                          <w:bCs/>
                          <w:smallCaps/>
                          <w:szCs w:val="28"/>
                        </w:rPr>
                      </w:pPr>
                      <w:r>
                        <w:rPr>
                          <w:rFonts w:asciiTheme="majorHAnsi" w:hAnsiTheme="majorHAnsi"/>
                          <w:b/>
                          <w:bCs/>
                          <w:smallCaps/>
                          <w:szCs w:val="28"/>
                        </w:rPr>
                        <w:t>Coalition to Abolish Slavery and Trafficking</w:t>
                      </w:r>
                    </w:p>
                    <w:p>
                      <w:pPr>
                        <w:rPr>
                          <w:rFonts w:asciiTheme="majorHAnsi" w:hAnsiTheme="majorHAnsi"/>
                          <w:sz w:val="20"/>
                        </w:rPr>
                      </w:pPr>
                      <w:r>
                        <w:rPr>
                          <w:rFonts w:asciiTheme="majorHAnsi" w:hAnsiTheme="majorHAnsi"/>
                          <w:sz w:val="20"/>
                        </w:rPr>
                        <w:t xml:space="preserve">Systemic change is at the core of CAST’s mission. Taking a survivor-centered approach to ending modern slavery, CAST has a proven track record of working directly with survivors of human trafficking which builds an important bridge between practice and policy to inform effective policy initiatives. By developing broad-based partnerships, CAST effectively advocates for policies that work to end human trafficking and help survivors rebuild their lives.  </w:t>
                      </w:r>
                    </w:p>
                    <w:p>
                      <w:pPr>
                        <w:spacing w:line="240" w:lineRule="auto"/>
                        <w:jc w:val="center"/>
                        <w:rPr>
                          <w:rFonts w:asciiTheme="majorHAnsi" w:hAnsiTheme="majorHAnsi"/>
                          <w:b/>
                          <w:sz w:val="20"/>
                          <w:szCs w:val="16"/>
                        </w:rPr>
                      </w:pPr>
                      <w:r>
                        <w:rPr>
                          <w:rFonts w:asciiTheme="majorHAnsi" w:hAnsiTheme="majorHAnsi"/>
                          <w:b/>
                          <w:sz w:val="20"/>
                          <w:szCs w:val="16"/>
                        </w:rPr>
                        <w:t xml:space="preserve">Coalition to Abolish Slavery &amp; Trafficking (CAST) </w:t>
                      </w:r>
                    </w:p>
                    <w:p>
                      <w:pPr>
                        <w:spacing w:line="240" w:lineRule="auto"/>
                        <w:jc w:val="center"/>
                        <w:rPr>
                          <w:rFonts w:asciiTheme="majorHAnsi" w:hAnsiTheme="majorHAnsi"/>
                          <w:b/>
                          <w:sz w:val="20"/>
                          <w:szCs w:val="16"/>
                        </w:rPr>
                      </w:pPr>
                      <w:r>
                        <w:rPr>
                          <w:rFonts w:asciiTheme="majorHAnsi" w:hAnsiTheme="majorHAnsi"/>
                          <w:b/>
                          <w:sz w:val="20"/>
                          <w:szCs w:val="16"/>
                        </w:rPr>
                        <w:t xml:space="preserve">5042 Wilshire Blvd #586, L.A., CA  90036 </w:t>
                      </w:r>
                    </w:p>
                    <w:p>
                      <w:pPr>
                        <w:spacing w:line="240" w:lineRule="auto"/>
                        <w:jc w:val="center"/>
                        <w:rPr>
                          <w:rFonts w:asciiTheme="majorHAnsi" w:hAnsiTheme="majorHAnsi"/>
                          <w:b/>
                          <w:sz w:val="20"/>
                          <w:szCs w:val="16"/>
                        </w:rPr>
                      </w:pPr>
                      <w:r>
                        <w:rPr>
                          <w:rFonts w:asciiTheme="majorHAnsi" w:hAnsiTheme="majorHAnsi"/>
                          <w:b/>
                          <w:sz w:val="20"/>
                          <w:szCs w:val="16"/>
                        </w:rPr>
                        <w:t xml:space="preserve">(213) 365-1906 </w:t>
                      </w:r>
                    </w:p>
                    <w:p>
                      <w:pPr>
                        <w:jc w:val="center"/>
                        <w:rPr>
                          <w:rFonts w:asciiTheme="majorHAnsi" w:hAnsiTheme="majorHAnsi"/>
                          <w:b/>
                          <w:sz w:val="20"/>
                          <w:szCs w:val="16"/>
                        </w:rPr>
                      </w:pPr>
                      <w:hyperlink r:id="rId12" w:history="1">
                        <w:r>
                          <w:rPr>
                            <w:rStyle w:val="Hyperlink"/>
                            <w:rFonts w:asciiTheme="majorHAnsi" w:hAnsiTheme="majorHAnsi"/>
                            <w:b/>
                            <w:color w:val="auto"/>
                            <w:sz w:val="20"/>
                            <w:szCs w:val="16"/>
                          </w:rPr>
                          <w:t>info@castla.org</w:t>
                        </w:r>
                      </w:hyperlink>
                      <w:r>
                        <w:rPr>
                          <w:rFonts w:asciiTheme="majorHAnsi" w:hAnsiTheme="majorHAnsi"/>
                          <w:b/>
                          <w:sz w:val="20"/>
                          <w:szCs w:val="16"/>
                        </w:rPr>
                        <w:t xml:space="preserve">    www.castla.org</w:t>
                      </w:r>
                    </w:p>
                    <w:p>
                      <w:pPr>
                        <w:rPr>
                          <w:rFonts w:asciiTheme="majorHAnsi" w:hAnsiTheme="majorHAnsi"/>
                          <w:sz w:val="20"/>
                        </w:rPr>
                      </w:pPr>
                    </w:p>
                    <w:p>
                      <w:pPr>
                        <w:rPr>
                          <w:rFonts w:asciiTheme="majorHAnsi" w:hAnsiTheme="majorHAnsi"/>
                        </w:rPr>
                      </w:pPr>
                    </w:p>
                  </w:txbxContent>
                </v:textbox>
                <w10:wrap type="square"/>
              </v:shape>
            </w:pict>
          </mc:Fallback>
        </mc:AlternateContent>
      </w:r>
    </w:p>
    <w:sectPr w:rsidR="001B1A8D">
      <w:footerReference w:type="defaul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A8D" w:rsidRDefault="00853109">
      <w:pPr>
        <w:spacing w:line="240" w:lineRule="auto"/>
      </w:pPr>
      <w:r>
        <w:separator/>
      </w:r>
    </w:p>
  </w:endnote>
  <w:endnote w:type="continuationSeparator" w:id="0">
    <w:p w:rsidR="001B1A8D" w:rsidRDefault="008531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8D" w:rsidRDefault="00853109">
    <w:pPr>
      <w:pStyle w:val="Footer"/>
      <w:tabs>
        <w:tab w:val="left" w:pos="322"/>
      </w:tabs>
      <w:rPr>
        <w:noProof/>
      </w:rPr>
    </w:pP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-137113</wp:posOffset>
          </wp:positionV>
          <wp:extent cx="4295775" cy="333375"/>
          <wp:effectExtent l="0" t="0" r="9525" b="9525"/>
          <wp:wrapNone/>
          <wp:docPr id="8" name="Picture 8" descr="Longform%20v1-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form%20v1-footer"/>
                  <pic:cNvPicPr>
                    <a:picLocks noChangeAspect="1" noChangeArrowheads="1"/>
                  </pic:cNvPicPr>
                </pic:nvPicPr>
                <pic:blipFill rotWithShape="1">
                  <a:blip r:embed="rId1">
                    <a:extLst>
                      <a:ext uri="{28A0092B-C50C-407E-A947-70E740481C1C}">
                        <a14:useLocalDpi xmlns:a14="http://schemas.microsoft.com/office/drawing/2010/main" val="0"/>
                      </a:ext>
                    </a:extLst>
                  </a:blip>
                  <a:srcRect l="46309" t="26786" b="26339"/>
                  <a:stretch/>
                </pic:blipFill>
                <pic:spPr bwMode="auto">
                  <a:xfrm>
                    <a:off x="0" y="0"/>
                    <a:ext cx="4295775"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t xml:space="preserve">Page </w:t>
    </w:r>
    <w:r>
      <w:fldChar w:fldCharType="begin"/>
    </w:r>
    <w:r>
      <w:instrText xml:space="preserve"> PAGE   \* MERGEFORMAT </w:instrText>
    </w:r>
    <w:r>
      <w:fldChar w:fldCharType="separate"/>
    </w:r>
    <w:r>
      <w:rPr>
        <w:noProof/>
      </w:rPr>
      <w:t>3</w:t>
    </w:r>
    <w:r>
      <w:rPr>
        <w:noProof/>
      </w:rPr>
      <w:fldChar w:fldCharType="end"/>
    </w:r>
  </w:p>
  <w:p w:rsidR="001B1A8D" w:rsidRDefault="00853109">
    <w:pPr>
      <w:pStyle w:val="Footer"/>
      <w:tabs>
        <w:tab w:val="left" w:pos="322"/>
      </w:tabs>
    </w:pPr>
    <w:r>
      <w:rPr>
        <w:rStyle w:val="DocID"/>
      </w:rPr>
      <w:fldChar w:fldCharType="begin"/>
    </w:r>
    <w:r>
      <w:rPr>
        <w:rStyle w:val="DocID"/>
      </w:rPr>
      <w:instrText xml:space="preserve"> DOCPROPERTY "DocID" \* MERGEFORMAT </w:instrText>
    </w:r>
    <w:r>
      <w:rPr>
        <w:rStyle w:val="DocID"/>
      </w:rPr>
      <w:fldChar w:fldCharType="separate"/>
    </w:r>
    <w:r>
      <w:rPr>
        <w:rStyle w:val="DocID"/>
      </w:rPr>
      <w:t>301226916 v4</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8D" w:rsidRDefault="00853109">
    <w:pPr>
      <w:pStyle w:val="Footer"/>
    </w:pPr>
    <w:r>
      <w:rPr>
        <w:noProof/>
      </w:rPr>
      <w:drawing>
        <wp:anchor distT="0" distB="0" distL="114300" distR="114300" simplePos="0" relativeHeight="251659264" behindDoc="1" locked="0" layoutInCell="1" allowOverlap="1">
          <wp:simplePos x="0" y="0"/>
          <wp:positionH relativeFrom="column">
            <wp:posOffset>-218364</wp:posOffset>
          </wp:positionH>
          <wp:positionV relativeFrom="paragraph">
            <wp:posOffset>-123464</wp:posOffset>
          </wp:positionV>
          <wp:extent cx="4295775" cy="333375"/>
          <wp:effectExtent l="0" t="0" r="9525" b="9525"/>
          <wp:wrapNone/>
          <wp:docPr id="1" name="Picture 1" descr="Longform%20v1-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form%20v1-footer"/>
                  <pic:cNvPicPr>
                    <a:picLocks noChangeAspect="1" noChangeArrowheads="1"/>
                  </pic:cNvPicPr>
                </pic:nvPicPr>
                <pic:blipFill rotWithShape="1">
                  <a:blip r:embed="rId1">
                    <a:extLst>
                      <a:ext uri="{28A0092B-C50C-407E-A947-70E740481C1C}">
                        <a14:useLocalDpi xmlns:a14="http://schemas.microsoft.com/office/drawing/2010/main" val="0"/>
                      </a:ext>
                    </a:extLst>
                  </a:blip>
                  <a:srcRect l="46309" t="26786" b="26339"/>
                  <a:stretch/>
                </pic:blipFill>
                <pic:spPr bwMode="auto">
                  <a:xfrm>
                    <a:off x="0" y="0"/>
                    <a:ext cx="4295775"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DocID"/>
      </w:rPr>
      <w:fldChar w:fldCharType="begin"/>
    </w:r>
    <w:r>
      <w:rPr>
        <w:rStyle w:val="DocID"/>
      </w:rPr>
      <w:instrText xml:space="preserve"> DOCPROPERTY "DocID" \* MERGEFORMAT </w:instrText>
    </w:r>
    <w:r>
      <w:rPr>
        <w:rStyle w:val="DocID"/>
      </w:rPr>
      <w:fldChar w:fldCharType="separate"/>
    </w:r>
    <w:r>
      <w:rPr>
        <w:rStyle w:val="DocID"/>
      </w:rPr>
      <w:t>301226916 v4</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A8D" w:rsidRDefault="00853109">
      <w:pPr>
        <w:spacing w:line="240" w:lineRule="auto"/>
      </w:pPr>
      <w:r>
        <w:separator/>
      </w:r>
    </w:p>
  </w:footnote>
  <w:footnote w:type="continuationSeparator" w:id="0">
    <w:p w:rsidR="001B1A8D" w:rsidRDefault="00853109">
      <w:pPr>
        <w:spacing w:line="240" w:lineRule="auto"/>
      </w:pPr>
      <w:r>
        <w:continuationSeparator/>
      </w:r>
    </w:p>
  </w:footnote>
  <w:footnote w:id="1">
    <w:p w:rsidR="001B1A8D" w:rsidRDefault="00853109">
      <w:pPr>
        <w:pStyle w:val="FootnoteText"/>
        <w:rPr>
          <w:rFonts w:ascii="Garamond" w:hAnsi="Garamond"/>
        </w:rPr>
      </w:pPr>
      <w:r>
        <w:rPr>
          <w:rStyle w:val="FootnoteReference"/>
          <w:rFonts w:ascii="Garamond" w:hAnsi="Garamond"/>
        </w:rPr>
        <w:footnoteRef/>
      </w:r>
      <w:r>
        <w:rPr>
          <w:rFonts w:ascii="Garamond" w:hAnsi="Garamond"/>
        </w:rPr>
        <w:t xml:space="preserve"> As the Cal OES grant program is currently structured, 10-11 programs </w:t>
      </w:r>
      <w:r>
        <w:rPr>
          <w:rFonts w:asciiTheme="majorHAnsi" w:hAnsiTheme="majorHAnsi"/>
        </w:rPr>
        <w:t>are</w:t>
      </w:r>
      <w:r>
        <w:rPr>
          <w:rFonts w:ascii="Garamond" w:hAnsi="Garamond"/>
        </w:rPr>
        <w:t xml:space="preserve"> funded annually, for two year periods. If continuing funding is allocated, a total of 20-22 programs will be funded across different grant periods.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F99"/>
    <w:multiLevelType w:val="hybridMultilevel"/>
    <w:tmpl w:val="029A4F5E"/>
    <w:lvl w:ilvl="0" w:tplc="974A70BC">
      <w:start w:val="1"/>
      <w:numFmt w:val="upperRoman"/>
      <w:lvlText w:val="%1."/>
      <w:lvlJc w:val="left"/>
      <w:pPr>
        <w:ind w:left="1080" w:hanging="720"/>
      </w:pPr>
      <w:rPr>
        <w:rFonts w:hint="default"/>
      </w:rPr>
    </w:lvl>
    <w:lvl w:ilvl="1" w:tplc="3A3C6994">
      <w:start w:val="1"/>
      <w:numFmt w:val="decimal"/>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16921"/>
    <w:multiLevelType w:val="hybridMultilevel"/>
    <w:tmpl w:val="C988F6E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5EC73A66"/>
    <w:multiLevelType w:val="hybridMultilevel"/>
    <w:tmpl w:val="2FDED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4E3CE4"/>
    <w:multiLevelType w:val="hybridMultilevel"/>
    <w:tmpl w:val="79B0B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ExMwdS5qYGZsZGhko6SsGpxcWZ+XkgBca1ALPsXlMsAAAA"/>
    <w:docVar w:name="DocIDAuthor" w:val="False"/>
    <w:docVar w:name="DocIDClientMatter" w:val="False"/>
    <w:docVar w:name="DocIDDate" w:val="False"/>
    <w:docVar w:name="DocIDDateText" w:val="True"/>
    <w:docVar w:name="DocIDLibrary" w:val="False"/>
    <w:docVar w:name="DocIDType" w:val="AllPages"/>
    <w:docVar w:name="DocIDTypist" w:val="False"/>
    <w:docVar w:name="LegacyDocIDRemoved" w:val="True"/>
  </w:docVars>
  <w:rsids>
    <w:rsidRoot w:val="001B1A8D"/>
    <w:rsid w:val="001B1A8D"/>
    <w:rsid w:val="0085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color w:val="000000" w:themeColor="text1"/>
    </w:rPr>
  </w:style>
  <w:style w:type="paragraph" w:styleId="Heading1">
    <w:name w:val="heading 1"/>
    <w:basedOn w:val="Normal"/>
    <w:next w:val="Normal"/>
    <w:link w:val="Heading1Char"/>
    <w:uiPriority w:val="9"/>
    <w:qFormat/>
    <w:pPr>
      <w:keepNext/>
      <w:keepLines/>
      <w:outlineLvl w:val="0"/>
    </w:pPr>
    <w:rPr>
      <w:rFonts w:asciiTheme="majorHAnsi" w:eastAsiaTheme="majorEastAsia" w:hAnsiTheme="majorHAnsi" w:cstheme="majorBidi"/>
      <w:color w:val="00A7D7" w:themeColor="accent1"/>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b/>
      <w:color w:val="E55745" w:themeColor="accent4"/>
      <w:sz w:val="26"/>
      <w:szCs w:val="26"/>
      <w:u w:val="single"/>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00536B"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eastAsiaTheme="minorEastAsia"/>
    </w:rPr>
  </w:style>
  <w:style w:type="character" w:customStyle="1" w:styleId="NoSpacingChar">
    <w:name w:val="No Spacing Char"/>
    <w:basedOn w:val="DefaultParagraphFont"/>
    <w:link w:val="NoSpacing"/>
    <w:uiPriority w:val="1"/>
    <w:rPr>
      <w:rFonts w:eastAsiaTheme="minorEastAsia"/>
    </w:rPr>
  </w:style>
  <w:style w:type="paragraph" w:styleId="Title">
    <w:name w:val="Title"/>
    <w:basedOn w:val="Normal"/>
    <w:next w:val="Normal"/>
    <w:link w:val="TitleChar"/>
    <w:uiPriority w:val="10"/>
    <w:qFormat/>
    <w:pPr>
      <w:spacing w:line="240" w:lineRule="auto"/>
      <w:contextualSpacing/>
      <w:jc w:val="right"/>
    </w:pPr>
    <w:rPr>
      <w:rFonts w:asciiTheme="majorHAnsi" w:eastAsiaTheme="majorEastAsia" w:hAnsiTheme="majorHAnsi" w:cstheme="majorBidi"/>
      <w:color w:val="47555F" w:themeColor="text2"/>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47555F" w:themeColor="text2"/>
      <w:spacing w:val="-10"/>
      <w:kern w:val="28"/>
      <w:sz w:val="56"/>
      <w:szCs w:val="5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Pr>
      <w:i/>
      <w:iCs/>
      <w:color w:val="404040" w:themeColor="text1" w:themeTint="BF"/>
    </w:rPr>
  </w:style>
  <w:style w:type="paragraph" w:styleId="Subtitle">
    <w:name w:val="Subtitle"/>
    <w:basedOn w:val="Normal"/>
    <w:next w:val="Normal"/>
    <w:link w:val="SubtitleChar"/>
    <w:uiPriority w:val="11"/>
    <w:qFormat/>
    <w:pPr>
      <w:numPr>
        <w:ilvl w:val="1"/>
      </w:numPr>
    </w:pPr>
    <w:rPr>
      <w:rFonts w:eastAsiaTheme="minorEastAsia"/>
      <w:smallCaps/>
      <w:color w:val="5A5A5A" w:themeColor="text1" w:themeTint="A5"/>
      <w:spacing w:val="15"/>
    </w:rPr>
  </w:style>
  <w:style w:type="character" w:customStyle="1" w:styleId="SubtitleChar">
    <w:name w:val="Subtitle Char"/>
    <w:basedOn w:val="DefaultParagraphFont"/>
    <w:link w:val="Subtitle"/>
    <w:uiPriority w:val="11"/>
    <w:rPr>
      <w:rFonts w:eastAsiaTheme="minorEastAsia"/>
      <w:smallCaps/>
      <w:color w:val="5A5A5A" w:themeColor="text1" w:themeTint="A5"/>
      <w:spacing w:val="15"/>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Pr>
      <w:rFonts w:asciiTheme="majorHAnsi" w:eastAsiaTheme="majorEastAsia" w:hAnsiTheme="majorHAnsi" w:cstheme="majorBidi"/>
      <w:b/>
      <w:color w:val="E55745" w:themeColor="accent4"/>
      <w:sz w:val="26"/>
      <w:szCs w:val="26"/>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0A7D7" w:themeColor="accent1"/>
      <w:sz w:val="32"/>
      <w:szCs w:val="32"/>
    </w:rPr>
  </w:style>
  <w:style w:type="paragraph" w:customStyle="1" w:styleId="Title2">
    <w:name w:val="Title 2"/>
    <w:basedOn w:val="Title"/>
    <w:link w:val="Title2Char"/>
    <w:qFormat/>
    <w:pPr>
      <w:jc w:val="center"/>
    </w:pPr>
    <w:rPr>
      <w:smallCaps/>
      <w:sz w:val="44"/>
    </w:rPr>
  </w:style>
  <w:style w:type="paragraph" w:styleId="FootnoteText">
    <w:name w:val="footnote text"/>
    <w:basedOn w:val="Normal"/>
    <w:link w:val="FootnoteTextChar"/>
    <w:uiPriority w:val="99"/>
    <w:unhideWhenUsed/>
    <w:pPr>
      <w:spacing w:line="240" w:lineRule="auto"/>
    </w:pPr>
    <w:rPr>
      <w:rFonts w:ascii="Times New Roman" w:hAnsi="Times New Roman" w:cs="Times New Roman"/>
      <w:color w:val="auto"/>
      <w:sz w:val="20"/>
      <w:szCs w:val="20"/>
    </w:rPr>
  </w:style>
  <w:style w:type="character" w:customStyle="1" w:styleId="Title2Char">
    <w:name w:val="Title 2 Char"/>
    <w:basedOn w:val="TitleChar"/>
    <w:link w:val="Title2"/>
    <w:rPr>
      <w:rFonts w:asciiTheme="majorHAnsi" w:eastAsiaTheme="majorEastAsia" w:hAnsiTheme="majorHAnsi" w:cstheme="majorBidi"/>
      <w:smallCaps/>
      <w:color w:val="47555F" w:themeColor="text2"/>
      <w:spacing w:val="-10"/>
      <w:kern w:val="28"/>
      <w:sz w:val="44"/>
      <w:szCs w:val="56"/>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536B" w:themeColor="accent1" w:themeShade="7F"/>
      <w:sz w:val="24"/>
      <w:szCs w:val="24"/>
    </w:rPr>
  </w:style>
  <w:style w:type="character" w:styleId="Hyperlink">
    <w:name w:val="Hyperlink"/>
    <w:basedOn w:val="DefaultParagraphFont"/>
    <w:uiPriority w:val="99"/>
    <w:unhideWhenUsed/>
    <w:rPr>
      <w:color w:val="E55745" w:themeColor="hyperlink"/>
      <w:u w:val="single"/>
    </w:rPr>
  </w:style>
  <w:style w:type="paragraph" w:styleId="ListParagraph">
    <w:name w:val="List Paragraph"/>
    <w:basedOn w:val="Normal"/>
    <w:uiPriority w:val="34"/>
    <w:qFormat/>
    <w:pPr>
      <w:ind w:left="720"/>
      <w:contextualSpacing/>
    </w:pPr>
  </w:style>
  <w:style w:type="table" w:customStyle="1" w:styleId="GridTable4Accent4">
    <w:name w:val="Grid Table 4 Accent 4"/>
    <w:basedOn w:val="TableNormal"/>
    <w:uiPriority w:val="49"/>
    <w:pPr>
      <w:spacing w:after="0" w:line="240" w:lineRule="auto"/>
    </w:pPr>
    <w:tblPr>
      <w:tblStyleRowBandSize w:val="1"/>
      <w:tblStyleColBandSize w:val="1"/>
      <w:tblBorders>
        <w:top w:val="single" w:sz="4" w:space="0" w:color="EF998F" w:themeColor="accent4" w:themeTint="99"/>
        <w:left w:val="single" w:sz="4" w:space="0" w:color="EF998F" w:themeColor="accent4" w:themeTint="99"/>
        <w:bottom w:val="single" w:sz="4" w:space="0" w:color="EF998F" w:themeColor="accent4" w:themeTint="99"/>
        <w:right w:val="single" w:sz="4" w:space="0" w:color="EF998F" w:themeColor="accent4" w:themeTint="99"/>
        <w:insideH w:val="single" w:sz="4" w:space="0" w:color="EF998F" w:themeColor="accent4" w:themeTint="99"/>
        <w:insideV w:val="single" w:sz="4" w:space="0" w:color="EF998F" w:themeColor="accent4" w:themeTint="99"/>
      </w:tblBorders>
    </w:tblPr>
    <w:tblStylePr w:type="firstRow">
      <w:rPr>
        <w:b/>
        <w:bCs/>
        <w:color w:val="FFFFFF" w:themeColor="background1"/>
      </w:rPr>
      <w:tblPr/>
      <w:tcPr>
        <w:tcBorders>
          <w:top w:val="single" w:sz="4" w:space="0" w:color="E55745" w:themeColor="accent4"/>
          <w:left w:val="single" w:sz="4" w:space="0" w:color="E55745" w:themeColor="accent4"/>
          <w:bottom w:val="single" w:sz="4" w:space="0" w:color="E55745" w:themeColor="accent4"/>
          <w:right w:val="single" w:sz="4" w:space="0" w:color="E55745" w:themeColor="accent4"/>
          <w:insideH w:val="nil"/>
          <w:insideV w:val="nil"/>
        </w:tcBorders>
        <w:shd w:val="clear" w:color="auto" w:fill="E55745" w:themeFill="accent4"/>
      </w:tcPr>
    </w:tblStylePr>
    <w:tblStylePr w:type="lastRow">
      <w:rPr>
        <w:b/>
        <w:bCs/>
      </w:rPr>
      <w:tblPr/>
      <w:tcPr>
        <w:tcBorders>
          <w:top w:val="double" w:sz="4" w:space="0" w:color="E55745" w:themeColor="accent4"/>
        </w:tcBorders>
      </w:tcPr>
    </w:tblStylePr>
    <w:tblStylePr w:type="firstCol">
      <w:rPr>
        <w:b/>
        <w:bCs/>
      </w:rPr>
    </w:tblStylePr>
    <w:tblStylePr w:type="lastCol">
      <w:rPr>
        <w:b/>
        <w:bCs/>
      </w:rPr>
    </w:tblStylePr>
    <w:tblStylePr w:type="band1Vert">
      <w:tblPr/>
      <w:tcPr>
        <w:shd w:val="clear" w:color="auto" w:fill="F9DDD9" w:themeFill="accent4" w:themeFillTint="33"/>
      </w:tcPr>
    </w:tblStylePr>
    <w:tblStylePr w:type="band1Horz">
      <w:tblPr/>
      <w:tcPr>
        <w:shd w:val="clear" w:color="auto" w:fill="F9DDD9" w:themeFill="accent4" w:themeFillTint="33"/>
      </w:tcPr>
    </w:tblStylePr>
  </w:style>
  <w:style w:type="table" w:customStyle="1" w:styleId="GridTable1LightAccent4">
    <w:name w:val="Grid Table 1 Light Accent 4"/>
    <w:basedOn w:val="TableNormal"/>
    <w:uiPriority w:val="46"/>
    <w:pPr>
      <w:spacing w:after="0" w:line="240" w:lineRule="auto"/>
    </w:pPr>
    <w:tblPr>
      <w:tblStyleRowBandSize w:val="1"/>
      <w:tblStyleColBandSize w:val="1"/>
      <w:tblBorders>
        <w:top w:val="single" w:sz="4" w:space="0" w:color="F4BBB4" w:themeColor="accent4" w:themeTint="66"/>
        <w:left w:val="single" w:sz="4" w:space="0" w:color="F4BBB4" w:themeColor="accent4" w:themeTint="66"/>
        <w:bottom w:val="single" w:sz="4" w:space="0" w:color="F4BBB4" w:themeColor="accent4" w:themeTint="66"/>
        <w:right w:val="single" w:sz="4" w:space="0" w:color="F4BBB4" w:themeColor="accent4" w:themeTint="66"/>
        <w:insideH w:val="single" w:sz="4" w:space="0" w:color="F4BBB4" w:themeColor="accent4" w:themeTint="66"/>
        <w:insideV w:val="single" w:sz="4" w:space="0" w:color="F4BBB4" w:themeColor="accent4" w:themeTint="66"/>
      </w:tblBorders>
    </w:tblPr>
    <w:tblStylePr w:type="firstRow">
      <w:rPr>
        <w:b/>
        <w:bCs/>
      </w:rPr>
      <w:tblPr/>
      <w:tcPr>
        <w:tcBorders>
          <w:bottom w:val="single" w:sz="12" w:space="0" w:color="EF998F" w:themeColor="accent4" w:themeTint="99"/>
        </w:tcBorders>
      </w:tcPr>
    </w:tblStylePr>
    <w:tblStylePr w:type="lastRow">
      <w:rPr>
        <w:b/>
        <w:bCs/>
      </w:rPr>
      <w:tblPr/>
      <w:tcPr>
        <w:tcBorders>
          <w:top w:val="double" w:sz="2" w:space="0" w:color="EF998F" w:themeColor="accent4" w:themeTint="99"/>
        </w:tcBorders>
      </w:tcPr>
    </w:tblStylePr>
    <w:tblStylePr w:type="firstCol">
      <w:rPr>
        <w:b/>
        <w:bCs/>
      </w:rPr>
    </w:tblStylePr>
    <w:tblStylePr w:type="lastCol">
      <w:rPr>
        <w:b/>
        <w:bCs/>
      </w:rPr>
    </w:tblStylePr>
  </w:style>
  <w:style w:type="character" w:customStyle="1" w:styleId="DocID">
    <w:name w:val="DocID"/>
    <w:basedOn w:val="DefaultParagraphFont"/>
    <w:rPr>
      <w:rFonts w:ascii="Arial" w:hAnsi="Arial" w:cs="Arial"/>
      <w:b w:val="0"/>
      <w:i w:val="0"/>
      <w:caps w:val="0"/>
      <w:vanish w:val="0"/>
      <w:color w:val="000000"/>
      <w:sz w:val="1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color w:val="000000" w:themeColor="text1"/>
    </w:rPr>
  </w:style>
  <w:style w:type="paragraph" w:styleId="Heading1">
    <w:name w:val="heading 1"/>
    <w:basedOn w:val="Normal"/>
    <w:next w:val="Normal"/>
    <w:link w:val="Heading1Char"/>
    <w:uiPriority w:val="9"/>
    <w:qFormat/>
    <w:pPr>
      <w:keepNext/>
      <w:keepLines/>
      <w:outlineLvl w:val="0"/>
    </w:pPr>
    <w:rPr>
      <w:rFonts w:asciiTheme="majorHAnsi" w:eastAsiaTheme="majorEastAsia" w:hAnsiTheme="majorHAnsi" w:cstheme="majorBidi"/>
      <w:color w:val="00A7D7" w:themeColor="accent1"/>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b/>
      <w:color w:val="E55745" w:themeColor="accent4"/>
      <w:sz w:val="26"/>
      <w:szCs w:val="26"/>
      <w:u w:val="single"/>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00536B"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eastAsiaTheme="minorEastAsia"/>
    </w:rPr>
  </w:style>
  <w:style w:type="character" w:customStyle="1" w:styleId="NoSpacingChar">
    <w:name w:val="No Spacing Char"/>
    <w:basedOn w:val="DefaultParagraphFont"/>
    <w:link w:val="NoSpacing"/>
    <w:uiPriority w:val="1"/>
    <w:rPr>
      <w:rFonts w:eastAsiaTheme="minorEastAsia"/>
    </w:rPr>
  </w:style>
  <w:style w:type="paragraph" w:styleId="Title">
    <w:name w:val="Title"/>
    <w:basedOn w:val="Normal"/>
    <w:next w:val="Normal"/>
    <w:link w:val="TitleChar"/>
    <w:uiPriority w:val="10"/>
    <w:qFormat/>
    <w:pPr>
      <w:spacing w:line="240" w:lineRule="auto"/>
      <w:contextualSpacing/>
      <w:jc w:val="right"/>
    </w:pPr>
    <w:rPr>
      <w:rFonts w:asciiTheme="majorHAnsi" w:eastAsiaTheme="majorEastAsia" w:hAnsiTheme="majorHAnsi" w:cstheme="majorBidi"/>
      <w:color w:val="47555F" w:themeColor="text2"/>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47555F" w:themeColor="text2"/>
      <w:spacing w:val="-10"/>
      <w:kern w:val="28"/>
      <w:sz w:val="56"/>
      <w:szCs w:val="5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Pr>
      <w:i/>
      <w:iCs/>
      <w:color w:val="404040" w:themeColor="text1" w:themeTint="BF"/>
    </w:rPr>
  </w:style>
  <w:style w:type="paragraph" w:styleId="Subtitle">
    <w:name w:val="Subtitle"/>
    <w:basedOn w:val="Normal"/>
    <w:next w:val="Normal"/>
    <w:link w:val="SubtitleChar"/>
    <w:uiPriority w:val="11"/>
    <w:qFormat/>
    <w:pPr>
      <w:numPr>
        <w:ilvl w:val="1"/>
      </w:numPr>
    </w:pPr>
    <w:rPr>
      <w:rFonts w:eastAsiaTheme="minorEastAsia"/>
      <w:smallCaps/>
      <w:color w:val="5A5A5A" w:themeColor="text1" w:themeTint="A5"/>
      <w:spacing w:val="15"/>
    </w:rPr>
  </w:style>
  <w:style w:type="character" w:customStyle="1" w:styleId="SubtitleChar">
    <w:name w:val="Subtitle Char"/>
    <w:basedOn w:val="DefaultParagraphFont"/>
    <w:link w:val="Subtitle"/>
    <w:uiPriority w:val="11"/>
    <w:rPr>
      <w:rFonts w:eastAsiaTheme="minorEastAsia"/>
      <w:smallCaps/>
      <w:color w:val="5A5A5A" w:themeColor="text1" w:themeTint="A5"/>
      <w:spacing w:val="15"/>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Pr>
      <w:rFonts w:asciiTheme="majorHAnsi" w:eastAsiaTheme="majorEastAsia" w:hAnsiTheme="majorHAnsi" w:cstheme="majorBidi"/>
      <w:b/>
      <w:color w:val="E55745" w:themeColor="accent4"/>
      <w:sz w:val="26"/>
      <w:szCs w:val="26"/>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0A7D7" w:themeColor="accent1"/>
      <w:sz w:val="32"/>
      <w:szCs w:val="32"/>
    </w:rPr>
  </w:style>
  <w:style w:type="paragraph" w:customStyle="1" w:styleId="Title2">
    <w:name w:val="Title 2"/>
    <w:basedOn w:val="Title"/>
    <w:link w:val="Title2Char"/>
    <w:qFormat/>
    <w:pPr>
      <w:jc w:val="center"/>
    </w:pPr>
    <w:rPr>
      <w:smallCaps/>
      <w:sz w:val="44"/>
    </w:rPr>
  </w:style>
  <w:style w:type="paragraph" w:styleId="FootnoteText">
    <w:name w:val="footnote text"/>
    <w:basedOn w:val="Normal"/>
    <w:link w:val="FootnoteTextChar"/>
    <w:uiPriority w:val="99"/>
    <w:unhideWhenUsed/>
    <w:pPr>
      <w:spacing w:line="240" w:lineRule="auto"/>
    </w:pPr>
    <w:rPr>
      <w:rFonts w:ascii="Times New Roman" w:hAnsi="Times New Roman" w:cs="Times New Roman"/>
      <w:color w:val="auto"/>
      <w:sz w:val="20"/>
      <w:szCs w:val="20"/>
    </w:rPr>
  </w:style>
  <w:style w:type="character" w:customStyle="1" w:styleId="Title2Char">
    <w:name w:val="Title 2 Char"/>
    <w:basedOn w:val="TitleChar"/>
    <w:link w:val="Title2"/>
    <w:rPr>
      <w:rFonts w:asciiTheme="majorHAnsi" w:eastAsiaTheme="majorEastAsia" w:hAnsiTheme="majorHAnsi" w:cstheme="majorBidi"/>
      <w:smallCaps/>
      <w:color w:val="47555F" w:themeColor="text2"/>
      <w:spacing w:val="-10"/>
      <w:kern w:val="28"/>
      <w:sz w:val="44"/>
      <w:szCs w:val="56"/>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536B" w:themeColor="accent1" w:themeShade="7F"/>
      <w:sz w:val="24"/>
      <w:szCs w:val="24"/>
    </w:rPr>
  </w:style>
  <w:style w:type="character" w:styleId="Hyperlink">
    <w:name w:val="Hyperlink"/>
    <w:basedOn w:val="DefaultParagraphFont"/>
    <w:uiPriority w:val="99"/>
    <w:unhideWhenUsed/>
    <w:rPr>
      <w:color w:val="E55745" w:themeColor="hyperlink"/>
      <w:u w:val="single"/>
    </w:rPr>
  </w:style>
  <w:style w:type="paragraph" w:styleId="ListParagraph">
    <w:name w:val="List Paragraph"/>
    <w:basedOn w:val="Normal"/>
    <w:uiPriority w:val="34"/>
    <w:qFormat/>
    <w:pPr>
      <w:ind w:left="720"/>
      <w:contextualSpacing/>
    </w:pPr>
  </w:style>
  <w:style w:type="table" w:customStyle="1" w:styleId="GridTable4Accent4">
    <w:name w:val="Grid Table 4 Accent 4"/>
    <w:basedOn w:val="TableNormal"/>
    <w:uiPriority w:val="49"/>
    <w:pPr>
      <w:spacing w:after="0" w:line="240" w:lineRule="auto"/>
    </w:pPr>
    <w:tblPr>
      <w:tblStyleRowBandSize w:val="1"/>
      <w:tblStyleColBandSize w:val="1"/>
      <w:tblBorders>
        <w:top w:val="single" w:sz="4" w:space="0" w:color="EF998F" w:themeColor="accent4" w:themeTint="99"/>
        <w:left w:val="single" w:sz="4" w:space="0" w:color="EF998F" w:themeColor="accent4" w:themeTint="99"/>
        <w:bottom w:val="single" w:sz="4" w:space="0" w:color="EF998F" w:themeColor="accent4" w:themeTint="99"/>
        <w:right w:val="single" w:sz="4" w:space="0" w:color="EF998F" w:themeColor="accent4" w:themeTint="99"/>
        <w:insideH w:val="single" w:sz="4" w:space="0" w:color="EF998F" w:themeColor="accent4" w:themeTint="99"/>
        <w:insideV w:val="single" w:sz="4" w:space="0" w:color="EF998F" w:themeColor="accent4" w:themeTint="99"/>
      </w:tblBorders>
    </w:tblPr>
    <w:tblStylePr w:type="firstRow">
      <w:rPr>
        <w:b/>
        <w:bCs/>
        <w:color w:val="FFFFFF" w:themeColor="background1"/>
      </w:rPr>
      <w:tblPr/>
      <w:tcPr>
        <w:tcBorders>
          <w:top w:val="single" w:sz="4" w:space="0" w:color="E55745" w:themeColor="accent4"/>
          <w:left w:val="single" w:sz="4" w:space="0" w:color="E55745" w:themeColor="accent4"/>
          <w:bottom w:val="single" w:sz="4" w:space="0" w:color="E55745" w:themeColor="accent4"/>
          <w:right w:val="single" w:sz="4" w:space="0" w:color="E55745" w:themeColor="accent4"/>
          <w:insideH w:val="nil"/>
          <w:insideV w:val="nil"/>
        </w:tcBorders>
        <w:shd w:val="clear" w:color="auto" w:fill="E55745" w:themeFill="accent4"/>
      </w:tcPr>
    </w:tblStylePr>
    <w:tblStylePr w:type="lastRow">
      <w:rPr>
        <w:b/>
        <w:bCs/>
      </w:rPr>
      <w:tblPr/>
      <w:tcPr>
        <w:tcBorders>
          <w:top w:val="double" w:sz="4" w:space="0" w:color="E55745" w:themeColor="accent4"/>
        </w:tcBorders>
      </w:tcPr>
    </w:tblStylePr>
    <w:tblStylePr w:type="firstCol">
      <w:rPr>
        <w:b/>
        <w:bCs/>
      </w:rPr>
    </w:tblStylePr>
    <w:tblStylePr w:type="lastCol">
      <w:rPr>
        <w:b/>
        <w:bCs/>
      </w:rPr>
    </w:tblStylePr>
    <w:tblStylePr w:type="band1Vert">
      <w:tblPr/>
      <w:tcPr>
        <w:shd w:val="clear" w:color="auto" w:fill="F9DDD9" w:themeFill="accent4" w:themeFillTint="33"/>
      </w:tcPr>
    </w:tblStylePr>
    <w:tblStylePr w:type="band1Horz">
      <w:tblPr/>
      <w:tcPr>
        <w:shd w:val="clear" w:color="auto" w:fill="F9DDD9" w:themeFill="accent4" w:themeFillTint="33"/>
      </w:tcPr>
    </w:tblStylePr>
  </w:style>
  <w:style w:type="table" w:customStyle="1" w:styleId="GridTable1LightAccent4">
    <w:name w:val="Grid Table 1 Light Accent 4"/>
    <w:basedOn w:val="TableNormal"/>
    <w:uiPriority w:val="46"/>
    <w:pPr>
      <w:spacing w:after="0" w:line="240" w:lineRule="auto"/>
    </w:pPr>
    <w:tblPr>
      <w:tblStyleRowBandSize w:val="1"/>
      <w:tblStyleColBandSize w:val="1"/>
      <w:tblBorders>
        <w:top w:val="single" w:sz="4" w:space="0" w:color="F4BBB4" w:themeColor="accent4" w:themeTint="66"/>
        <w:left w:val="single" w:sz="4" w:space="0" w:color="F4BBB4" w:themeColor="accent4" w:themeTint="66"/>
        <w:bottom w:val="single" w:sz="4" w:space="0" w:color="F4BBB4" w:themeColor="accent4" w:themeTint="66"/>
        <w:right w:val="single" w:sz="4" w:space="0" w:color="F4BBB4" w:themeColor="accent4" w:themeTint="66"/>
        <w:insideH w:val="single" w:sz="4" w:space="0" w:color="F4BBB4" w:themeColor="accent4" w:themeTint="66"/>
        <w:insideV w:val="single" w:sz="4" w:space="0" w:color="F4BBB4" w:themeColor="accent4" w:themeTint="66"/>
      </w:tblBorders>
    </w:tblPr>
    <w:tblStylePr w:type="firstRow">
      <w:rPr>
        <w:b/>
        <w:bCs/>
      </w:rPr>
      <w:tblPr/>
      <w:tcPr>
        <w:tcBorders>
          <w:bottom w:val="single" w:sz="12" w:space="0" w:color="EF998F" w:themeColor="accent4" w:themeTint="99"/>
        </w:tcBorders>
      </w:tcPr>
    </w:tblStylePr>
    <w:tblStylePr w:type="lastRow">
      <w:rPr>
        <w:b/>
        <w:bCs/>
      </w:rPr>
      <w:tblPr/>
      <w:tcPr>
        <w:tcBorders>
          <w:top w:val="double" w:sz="2" w:space="0" w:color="EF998F" w:themeColor="accent4" w:themeTint="99"/>
        </w:tcBorders>
      </w:tcPr>
    </w:tblStylePr>
    <w:tblStylePr w:type="firstCol">
      <w:rPr>
        <w:b/>
        <w:bCs/>
      </w:rPr>
    </w:tblStylePr>
    <w:tblStylePr w:type="lastCol">
      <w:rPr>
        <w:b/>
        <w:bCs/>
      </w:rPr>
    </w:tblStylePr>
  </w:style>
  <w:style w:type="character" w:customStyle="1" w:styleId="DocID">
    <w:name w:val="DocID"/>
    <w:basedOn w:val="DefaultParagraphFont"/>
    <w:rPr>
      <w:rFonts w:ascii="Arial" w:hAnsi="Arial" w:cs="Arial"/>
      <w:b w:val="0"/>
      <w:i w:val="0"/>
      <w:caps w:val="0"/>
      <w:vanish w:val="0"/>
      <w:color w:val="000000"/>
      <w:sz w:val="1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castl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castl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y@castla.org" TargetMode="External"/><Relationship Id="rId4" Type="http://schemas.openxmlformats.org/officeDocument/2006/relationships/settings" Target="settings.xml"/><Relationship Id="rId9" Type="http://schemas.openxmlformats.org/officeDocument/2006/relationships/hyperlink" Target="mailto:Stephanie@castla.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AST Colors 2">
      <a:dk1>
        <a:sysClr val="windowText" lastClr="000000"/>
      </a:dk1>
      <a:lt1>
        <a:sysClr val="window" lastClr="FFFFFF"/>
      </a:lt1>
      <a:dk2>
        <a:srgbClr val="47555F"/>
      </a:dk2>
      <a:lt2>
        <a:srgbClr val="E7E6E6"/>
      </a:lt2>
      <a:accent1>
        <a:srgbClr val="00A7D7"/>
      </a:accent1>
      <a:accent2>
        <a:srgbClr val="BCBEC0"/>
      </a:accent2>
      <a:accent3>
        <a:srgbClr val="FCDF41"/>
      </a:accent3>
      <a:accent4>
        <a:srgbClr val="E55745"/>
      </a:accent4>
      <a:accent5>
        <a:srgbClr val="00A7D7"/>
      </a:accent5>
      <a:accent6>
        <a:srgbClr val="007DA1"/>
      </a:accent6>
      <a:hlink>
        <a:srgbClr val="E55745"/>
      </a:hlink>
      <a:folHlink>
        <a:srgbClr val="EAC603"/>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A LEGACY OF COMPREHENSIVE SERVICES FOR CALIFORNIA’S TRAFFICKING VICTIMS</vt:lpstr>
    </vt:vector>
  </TitlesOfParts>
  <Company>Microsoft</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LEGACY OF COMPREHENSIVE SERVICES FOR CALIFORNIA’S TRAFFICKING VICTIMS</dc:title>
  <dc:subject>A proposal for an increased Continuing Budget Request for specialized services for victims of human trafficking in California’s General Fund</dc:subject>
  <dc:creator>Erika Gonzalez</dc:creator>
  <cp:lastModifiedBy>Stephanie Richard</cp:lastModifiedBy>
  <cp:revision>2</cp:revision>
  <dcterms:created xsi:type="dcterms:W3CDTF">2018-01-23T18:03:00Z</dcterms:created>
  <dcterms:modified xsi:type="dcterms:W3CDTF">2018-01-23T18:03:00Z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301226916 v4</vt:lpwstr>
  </property>
</Properties>
</file>